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E4F1" w14:textId="77777777" w:rsidR="00FD2457" w:rsidRPr="00FD2457" w:rsidRDefault="00FD2457" w:rsidP="00FD2457">
      <w:pPr>
        <w:jc w:val="both"/>
        <w:rPr>
          <w:rFonts w:ascii="Times New Roman" w:hAnsi="Times New Roman" w:cs="Times New Roman"/>
          <w:b/>
          <w:bCs/>
          <w:sz w:val="24"/>
          <w:szCs w:val="24"/>
        </w:rPr>
      </w:pPr>
      <w:r w:rsidRPr="00FD2457">
        <w:rPr>
          <w:rFonts w:ascii="Times New Roman" w:hAnsi="Times New Roman" w:cs="Times New Roman"/>
          <w:b/>
          <w:bCs/>
          <w:sz w:val="24"/>
          <w:szCs w:val="24"/>
        </w:rPr>
        <w:t xml:space="preserve">Documentos e/ou declarações necessárias para a efetivação do Registro da Escritura Pública ou do Contrato Particular com força de Escritura Pública. </w:t>
      </w:r>
    </w:p>
    <w:p w14:paraId="51797533" w14:textId="132922F3"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Para a regularidade da escritura ou contrato com força de escritura pública (4.380/64 e 9.514/97, legislação e atos normativos complementares) que implique transferência de domínio ou de direitos relativamente a imóvel, bem assim como constituição de ônus reais são necessários os seguintes documentos ou declarações que deverão estar inseridos no título sujeito a registro, conforme dispõe a Lei 7.433/85, Decreto Federal 93.240/86 e o Código de Normas do Estado de Minas Gerais - Provimento </w:t>
      </w:r>
      <w:r w:rsidR="00DC1E7F">
        <w:rPr>
          <w:rFonts w:ascii="Times New Roman" w:hAnsi="Times New Roman" w:cs="Times New Roman"/>
          <w:sz w:val="24"/>
          <w:szCs w:val="24"/>
        </w:rPr>
        <w:t>93</w:t>
      </w:r>
      <w:r w:rsidRPr="00FD2457">
        <w:rPr>
          <w:rFonts w:ascii="Times New Roman" w:hAnsi="Times New Roman" w:cs="Times New Roman"/>
          <w:sz w:val="24"/>
          <w:szCs w:val="24"/>
        </w:rPr>
        <w:t>/CGJ/TJMG/</w:t>
      </w:r>
      <w:r w:rsidR="00DC1E7F">
        <w:rPr>
          <w:rFonts w:ascii="Times New Roman" w:hAnsi="Times New Roman" w:cs="Times New Roman"/>
          <w:sz w:val="24"/>
          <w:szCs w:val="24"/>
        </w:rPr>
        <w:t>2020</w:t>
      </w:r>
      <w:r w:rsidRPr="00FD2457">
        <w:rPr>
          <w:rFonts w:ascii="Times New Roman" w:hAnsi="Times New Roman" w:cs="Times New Roman"/>
          <w:sz w:val="24"/>
          <w:szCs w:val="24"/>
        </w:rPr>
        <w:t>.</w:t>
      </w:r>
    </w:p>
    <w:p w14:paraId="183DECA1" w14:textId="77777777" w:rsidR="00FD2457" w:rsidRPr="008174A3" w:rsidRDefault="00FD2457" w:rsidP="00FD2457">
      <w:pPr>
        <w:jc w:val="both"/>
        <w:rPr>
          <w:rFonts w:ascii="Times New Roman" w:hAnsi="Times New Roman" w:cs="Times New Roman"/>
          <w:b/>
          <w:bCs/>
          <w:sz w:val="24"/>
          <w:szCs w:val="24"/>
        </w:rPr>
      </w:pPr>
      <w:r w:rsidRPr="008174A3">
        <w:rPr>
          <w:rFonts w:ascii="Times New Roman" w:hAnsi="Times New Roman" w:cs="Times New Roman"/>
          <w:b/>
          <w:bCs/>
          <w:sz w:val="24"/>
          <w:szCs w:val="24"/>
        </w:rPr>
        <w:t xml:space="preserve">DAS CERTIDÕES NECESSÁRIAS AO REGISTRO: </w:t>
      </w:r>
    </w:p>
    <w:p w14:paraId="69244FA2" w14:textId="77777777" w:rsidR="008174A3" w:rsidRDefault="00FD2457" w:rsidP="008174A3">
      <w:pPr>
        <w:ind w:left="567"/>
        <w:jc w:val="both"/>
        <w:rPr>
          <w:rFonts w:ascii="Times New Roman" w:hAnsi="Times New Roman" w:cs="Times New Roman"/>
          <w:b/>
          <w:bCs/>
          <w:sz w:val="24"/>
          <w:szCs w:val="24"/>
        </w:rPr>
      </w:pPr>
      <w:r w:rsidRPr="008174A3">
        <w:rPr>
          <w:rFonts w:ascii="Times New Roman" w:hAnsi="Times New Roman" w:cs="Times New Roman"/>
          <w:b/>
          <w:bCs/>
          <w:sz w:val="24"/>
          <w:szCs w:val="24"/>
        </w:rPr>
        <w:sym w:font="Symbol" w:char="F0B7"/>
      </w:r>
      <w:r w:rsidRPr="008174A3">
        <w:rPr>
          <w:rFonts w:ascii="Times New Roman" w:hAnsi="Times New Roman" w:cs="Times New Roman"/>
          <w:b/>
          <w:bCs/>
          <w:sz w:val="24"/>
          <w:szCs w:val="24"/>
        </w:rPr>
        <w:t xml:space="preserve"> Certidão conjunta de Débitos Relativos a Créditos Tributários Federais e à Dívida Ativa da União </w:t>
      </w:r>
    </w:p>
    <w:p w14:paraId="6619B1A4" w14:textId="77777777" w:rsidR="008A69B1" w:rsidRDefault="008A69B1" w:rsidP="008174A3">
      <w:pPr>
        <w:ind w:left="567"/>
        <w:jc w:val="both"/>
        <w:rPr>
          <w:rFonts w:ascii="Times New Roman" w:hAnsi="Times New Roman" w:cs="Times New Roman"/>
          <w:b/>
          <w:bCs/>
          <w:sz w:val="24"/>
          <w:szCs w:val="24"/>
        </w:rPr>
      </w:pPr>
    </w:p>
    <w:p w14:paraId="02C0DA1E" w14:textId="14B60401" w:rsidR="008A69B1" w:rsidRPr="006074F1" w:rsidRDefault="008A69B1" w:rsidP="006074F1">
      <w:pPr>
        <w:rPr>
          <w:rFonts w:ascii="Times New Roman" w:eastAsia="Times New Roman" w:hAnsi="Times New Roman" w:cs="Times New Roman"/>
          <w:spacing w:val="-12"/>
          <w:kern w:val="36"/>
          <w:sz w:val="24"/>
          <w:szCs w:val="24"/>
          <w:lang w:eastAsia="pt-BR"/>
        </w:rPr>
      </w:pPr>
      <w:r w:rsidRPr="006074F1">
        <w:rPr>
          <w:rFonts w:ascii="Times New Roman" w:eastAsia="Times New Roman" w:hAnsi="Times New Roman" w:cs="Times New Roman"/>
          <w:spacing w:val="-12"/>
          <w:kern w:val="36"/>
          <w:sz w:val="24"/>
          <w:szCs w:val="24"/>
          <w:u w:val="single"/>
          <w:lang w:eastAsia="pt-BR"/>
        </w:rPr>
        <w:t>Certidão de Débitos Relativos a Créditos Tributários Federais e à Dívida Ativa da</w:t>
      </w:r>
      <w:r w:rsidRPr="006074F1">
        <w:rPr>
          <w:rFonts w:ascii="Times New Roman" w:eastAsia="Times New Roman" w:hAnsi="Times New Roman" w:cs="Times New Roman"/>
          <w:spacing w:val="-12"/>
          <w:kern w:val="36"/>
          <w:sz w:val="24"/>
          <w:szCs w:val="24"/>
          <w:lang w:eastAsia="pt-BR"/>
        </w:rPr>
        <w:t xml:space="preserve"> União </w:t>
      </w:r>
    </w:p>
    <w:p w14:paraId="445B674D" w14:textId="6D017F09" w:rsidR="008A69B1" w:rsidRPr="006074F1" w:rsidRDefault="00FD2457" w:rsidP="00FD2457">
      <w:pPr>
        <w:jc w:val="both"/>
        <w:rPr>
          <w:rFonts w:ascii="Times New Roman" w:hAnsi="Times New Roman" w:cs="Times New Roman"/>
          <w:sz w:val="24"/>
          <w:szCs w:val="24"/>
        </w:rPr>
      </w:pPr>
      <w:r w:rsidRPr="006074F1">
        <w:rPr>
          <w:rFonts w:ascii="Times New Roman" w:hAnsi="Times New Roman" w:cs="Times New Roman"/>
          <w:sz w:val="24"/>
          <w:szCs w:val="24"/>
        </w:rPr>
        <w:t xml:space="preserve">Se o(s) transmitente(s) for(em) pessoa(s) jurídica(s), a escritura ou o contrato deverá mencionar: a apresentação de certidão negativa de débito expedida conjuntamente pela Secretaria da Receita Federal do Brasil - RFB e pela Procuradoria-Geral da Fazenda Nacional - PGFN, referente a todos os tributos federais e à Dívida Ativa da União - DAU por elas administrados (se emitida a partir de 3/11/2014 inclui INSS). </w:t>
      </w:r>
    </w:p>
    <w:p w14:paraId="011460F2" w14:textId="6F22FF7C" w:rsidR="008A69B1" w:rsidRPr="006074F1" w:rsidRDefault="008A69B1" w:rsidP="00FD2457">
      <w:pPr>
        <w:jc w:val="both"/>
        <w:rPr>
          <w:rFonts w:ascii="Times New Roman" w:hAnsi="Times New Roman" w:cs="Times New Roman"/>
          <w:sz w:val="24"/>
          <w:szCs w:val="24"/>
        </w:rPr>
      </w:pPr>
      <w:r w:rsidRPr="006074F1">
        <w:rPr>
          <w:rFonts w:ascii="Times New Roman" w:hAnsi="Times New Roman" w:cs="Times New Roman"/>
          <w:sz w:val="24"/>
          <w:szCs w:val="24"/>
        </w:rPr>
        <w:t>Ou a declaração de que o imóvel não integra o ativo permanente da empresa.</w:t>
      </w:r>
    </w:p>
    <w:p w14:paraId="3EB8D47F" w14:textId="147A2AF5" w:rsidR="00FD2457" w:rsidRDefault="00FD2457" w:rsidP="00FD2457">
      <w:pPr>
        <w:jc w:val="both"/>
        <w:rPr>
          <w:rFonts w:ascii="Times New Roman" w:hAnsi="Times New Roman" w:cs="Times New Roman"/>
          <w:sz w:val="24"/>
          <w:szCs w:val="24"/>
        </w:rPr>
      </w:pPr>
      <w:r w:rsidRPr="006074F1">
        <w:rPr>
          <w:rFonts w:ascii="Times New Roman" w:hAnsi="Times New Roman" w:cs="Times New Roman"/>
          <w:sz w:val="24"/>
          <w:szCs w:val="24"/>
        </w:rPr>
        <w:t xml:space="preserve">Independe da </w:t>
      </w:r>
      <w:r w:rsidRPr="00FD2457">
        <w:rPr>
          <w:rFonts w:ascii="Times New Roman" w:hAnsi="Times New Roman" w:cs="Times New Roman"/>
          <w:sz w:val="24"/>
          <w:szCs w:val="24"/>
        </w:rPr>
        <w:t>referida certidão a alienação ou a oneração a ser feita por empresa que explore exclusivamente atividade de compra e venda ou locação de imóveis, desmembramento ou loteamento de terreno, incorporação imobiliária ou construção de imóveis destinados à venda, desde que o objeto da transação ou oneração esteja contabilmente lançado no ativo circulante e não conste nem tenha constado do ativo permanente da empresa, fato que deve constar de forma expressa na escritura</w:t>
      </w:r>
      <w:r w:rsidR="004A78FC">
        <w:rPr>
          <w:rFonts w:ascii="Times New Roman" w:hAnsi="Times New Roman" w:cs="Times New Roman"/>
          <w:sz w:val="24"/>
          <w:szCs w:val="24"/>
        </w:rPr>
        <w:t xml:space="preserve"> ou no contrato</w:t>
      </w:r>
      <w:r w:rsidRPr="00FD2457">
        <w:rPr>
          <w:rFonts w:ascii="Times New Roman" w:hAnsi="Times New Roman" w:cs="Times New Roman"/>
          <w:sz w:val="24"/>
          <w:szCs w:val="24"/>
        </w:rPr>
        <w:t>.</w:t>
      </w:r>
    </w:p>
    <w:p w14:paraId="0D76E009" w14:textId="4A0AFF31"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 “consideram-se empresa a sociedade, a associação, a fundação, a firma individual e o contribuinte individual empregador”. Art. 1</w:t>
      </w:r>
      <w:r w:rsidR="00DC1E7F">
        <w:rPr>
          <w:rFonts w:ascii="Times New Roman" w:hAnsi="Times New Roman" w:cs="Times New Roman"/>
          <w:sz w:val="24"/>
          <w:szCs w:val="24"/>
        </w:rPr>
        <w:t>90</w:t>
      </w:r>
      <w:r w:rsidRPr="00FD2457">
        <w:rPr>
          <w:rFonts w:ascii="Times New Roman" w:hAnsi="Times New Roman" w:cs="Times New Roman"/>
          <w:sz w:val="24"/>
          <w:szCs w:val="24"/>
        </w:rPr>
        <w:t xml:space="preserve">, § 2º do Prov. </w:t>
      </w:r>
      <w:r w:rsidR="00DC1E7F">
        <w:rPr>
          <w:rFonts w:ascii="Times New Roman" w:hAnsi="Times New Roman" w:cs="Times New Roman"/>
          <w:sz w:val="24"/>
          <w:szCs w:val="24"/>
        </w:rPr>
        <w:t>93</w:t>
      </w:r>
      <w:r w:rsidRPr="00FD2457">
        <w:rPr>
          <w:rFonts w:ascii="Times New Roman" w:hAnsi="Times New Roman" w:cs="Times New Roman"/>
          <w:sz w:val="24"/>
          <w:szCs w:val="24"/>
        </w:rPr>
        <w:t>/2</w:t>
      </w:r>
      <w:r w:rsidR="00DC1E7F">
        <w:rPr>
          <w:rFonts w:ascii="Times New Roman" w:hAnsi="Times New Roman" w:cs="Times New Roman"/>
          <w:sz w:val="24"/>
          <w:szCs w:val="24"/>
        </w:rPr>
        <w:t>020</w:t>
      </w:r>
      <w:r w:rsidRPr="00FD2457">
        <w:rPr>
          <w:rFonts w:ascii="Times New Roman" w:hAnsi="Times New Roman" w:cs="Times New Roman"/>
          <w:sz w:val="24"/>
          <w:szCs w:val="24"/>
        </w:rPr>
        <w:t xml:space="preserve">, CGJ/MG. </w:t>
      </w:r>
    </w:p>
    <w:p w14:paraId="1BDA38DF" w14:textId="53BCCFA5" w:rsidR="00FD2457" w:rsidRP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Se o(s) transmitente(s) for(em) pessoa(s) física(s) deverá declarar que: “não é Contribuinte de INSS como empregador” no próprio título ou em documento apartado com firma reconhecida por tabelião (poderá ser dispensado a sua apresentação desde que conste a sua dispensa no título a ser registrado)</w:t>
      </w:r>
    </w:p>
    <w:p w14:paraId="7AC1AD0E"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 A apresentação de certidão positiva de débitos com efeitos de negativa equivale, para fins de legitimidade de lavratura da escritura, à apresentação de certidão negativa. </w:t>
      </w:r>
    </w:p>
    <w:p w14:paraId="1F029368"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OBS.: quando a certidão estiver positiva aceitaremos desde que todas as partes envolvidas no negócio compareçam dando ciência. </w:t>
      </w:r>
    </w:p>
    <w:p w14:paraId="18712F98" w14:textId="2232C890"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lastRenderedPageBreak/>
        <w:t xml:space="preserve">Fundamentação: - IN RFB nº 971 de 13 de </w:t>
      </w:r>
      <w:r w:rsidR="009377D6" w:rsidRPr="00FD2457">
        <w:rPr>
          <w:rFonts w:ascii="Times New Roman" w:hAnsi="Times New Roman" w:cs="Times New Roman"/>
          <w:sz w:val="24"/>
          <w:szCs w:val="24"/>
        </w:rPr>
        <w:t>novembro</w:t>
      </w:r>
      <w:r w:rsidRPr="00FD2457">
        <w:rPr>
          <w:rFonts w:ascii="Times New Roman" w:hAnsi="Times New Roman" w:cs="Times New Roman"/>
          <w:sz w:val="24"/>
          <w:szCs w:val="24"/>
        </w:rPr>
        <w:t xml:space="preserve"> de 2009, a IN RFB nº 1505 de 31 de </w:t>
      </w:r>
      <w:r w:rsidR="009377D6" w:rsidRPr="00FD2457">
        <w:rPr>
          <w:rFonts w:ascii="Times New Roman" w:hAnsi="Times New Roman" w:cs="Times New Roman"/>
          <w:sz w:val="24"/>
          <w:szCs w:val="24"/>
        </w:rPr>
        <w:t>outubro</w:t>
      </w:r>
      <w:r w:rsidRPr="00FD2457">
        <w:rPr>
          <w:rFonts w:ascii="Times New Roman" w:hAnsi="Times New Roman" w:cs="Times New Roman"/>
          <w:sz w:val="24"/>
          <w:szCs w:val="24"/>
        </w:rPr>
        <w:t xml:space="preserve"> de 2014 e Artigo 17, I da IN RFB nº 1751 de 02 de </w:t>
      </w:r>
      <w:r w:rsidR="009377D6" w:rsidRPr="00FD2457">
        <w:rPr>
          <w:rFonts w:ascii="Times New Roman" w:hAnsi="Times New Roman" w:cs="Times New Roman"/>
          <w:sz w:val="24"/>
          <w:szCs w:val="24"/>
        </w:rPr>
        <w:t>outubro</w:t>
      </w:r>
      <w:r w:rsidRPr="00FD2457">
        <w:rPr>
          <w:rFonts w:ascii="Times New Roman" w:hAnsi="Times New Roman" w:cs="Times New Roman"/>
          <w:sz w:val="24"/>
          <w:szCs w:val="24"/>
        </w:rPr>
        <w:t xml:space="preserve"> de 2014; o Art. 1º, Portaria MF nº 358/2014 e o artigo 1</w:t>
      </w:r>
      <w:r w:rsidR="00DC1E7F">
        <w:rPr>
          <w:rFonts w:ascii="Times New Roman" w:hAnsi="Times New Roman" w:cs="Times New Roman"/>
          <w:sz w:val="24"/>
          <w:szCs w:val="24"/>
        </w:rPr>
        <w:t>87</w:t>
      </w:r>
      <w:r w:rsidRPr="00FD2457">
        <w:rPr>
          <w:rFonts w:ascii="Times New Roman" w:hAnsi="Times New Roman" w:cs="Times New Roman"/>
          <w:sz w:val="24"/>
          <w:szCs w:val="24"/>
        </w:rPr>
        <w:t xml:space="preserve">, II do Provimento </w:t>
      </w:r>
      <w:r w:rsidR="00DC1E7F">
        <w:rPr>
          <w:rFonts w:ascii="Times New Roman" w:hAnsi="Times New Roman" w:cs="Times New Roman"/>
          <w:sz w:val="24"/>
          <w:szCs w:val="24"/>
        </w:rPr>
        <w:t>93</w:t>
      </w:r>
      <w:r w:rsidRPr="00FD2457">
        <w:rPr>
          <w:rFonts w:ascii="Times New Roman" w:hAnsi="Times New Roman" w:cs="Times New Roman"/>
          <w:sz w:val="24"/>
          <w:szCs w:val="24"/>
        </w:rPr>
        <w:t>/</w:t>
      </w:r>
      <w:r w:rsidR="00DC1E7F">
        <w:rPr>
          <w:rFonts w:ascii="Times New Roman" w:hAnsi="Times New Roman" w:cs="Times New Roman"/>
          <w:sz w:val="24"/>
          <w:szCs w:val="24"/>
        </w:rPr>
        <w:t>2020</w:t>
      </w:r>
      <w:r w:rsidRPr="00FD2457">
        <w:rPr>
          <w:rFonts w:ascii="Times New Roman" w:hAnsi="Times New Roman" w:cs="Times New Roman"/>
          <w:sz w:val="24"/>
          <w:szCs w:val="24"/>
        </w:rPr>
        <w:t xml:space="preserve"> CGJ-MG. </w:t>
      </w:r>
    </w:p>
    <w:p w14:paraId="2D62D422" w14:textId="77777777" w:rsidR="008174A3" w:rsidRPr="008174A3" w:rsidRDefault="00FD2457" w:rsidP="008174A3">
      <w:pPr>
        <w:ind w:left="426"/>
        <w:jc w:val="both"/>
        <w:rPr>
          <w:rFonts w:ascii="Times New Roman" w:hAnsi="Times New Roman" w:cs="Times New Roman"/>
          <w:b/>
          <w:bCs/>
          <w:sz w:val="24"/>
          <w:szCs w:val="24"/>
        </w:rPr>
      </w:pPr>
      <w:r w:rsidRPr="008174A3">
        <w:rPr>
          <w:rFonts w:ascii="Times New Roman" w:hAnsi="Times New Roman" w:cs="Times New Roman"/>
          <w:b/>
          <w:bCs/>
          <w:sz w:val="24"/>
          <w:szCs w:val="24"/>
        </w:rPr>
        <w:sym w:font="Symbol" w:char="F0B7"/>
      </w:r>
      <w:r w:rsidRPr="008174A3">
        <w:rPr>
          <w:rFonts w:ascii="Times New Roman" w:hAnsi="Times New Roman" w:cs="Times New Roman"/>
          <w:b/>
          <w:bCs/>
          <w:sz w:val="24"/>
          <w:szCs w:val="24"/>
        </w:rPr>
        <w:t xml:space="preserve"> Certidão Negativa de Débitos do Imóvel perante o Município </w:t>
      </w:r>
    </w:p>
    <w:p w14:paraId="0D3631A6" w14:textId="2D082AE8"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Certidão Fiscal do Município (débitos relativos ao imóvel). Esta Certidão pode ser dispensada desde que o adquirente expressamente assim declare. Com a declaração passará o adquirente a responder, nos termos da lei, pelos débitos fiscais acaso existentes. </w:t>
      </w:r>
    </w:p>
    <w:p w14:paraId="7DDDD8FF" w14:textId="7689472C"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Fundamentação: Art. 1º, III, “a”, e §2º, do Decreto 93.240/86</w:t>
      </w:r>
      <w:r w:rsidR="006074F1">
        <w:rPr>
          <w:rFonts w:ascii="Times New Roman" w:hAnsi="Times New Roman" w:cs="Times New Roman"/>
          <w:sz w:val="24"/>
          <w:szCs w:val="24"/>
        </w:rPr>
        <w:t>;</w:t>
      </w:r>
      <w:r w:rsidRPr="00FD2457">
        <w:rPr>
          <w:rFonts w:ascii="Times New Roman" w:hAnsi="Times New Roman" w:cs="Times New Roman"/>
          <w:sz w:val="24"/>
          <w:szCs w:val="24"/>
        </w:rPr>
        <w:t xml:space="preserve"> </w:t>
      </w:r>
      <w:r w:rsidR="00DC1E7F" w:rsidRPr="00FD2457">
        <w:rPr>
          <w:rFonts w:ascii="Times New Roman" w:hAnsi="Times New Roman" w:cs="Times New Roman"/>
          <w:sz w:val="24"/>
          <w:szCs w:val="24"/>
        </w:rPr>
        <w:t>artigo 1</w:t>
      </w:r>
      <w:r w:rsidR="00DC1E7F">
        <w:rPr>
          <w:rFonts w:ascii="Times New Roman" w:hAnsi="Times New Roman" w:cs="Times New Roman"/>
          <w:sz w:val="24"/>
          <w:szCs w:val="24"/>
        </w:rPr>
        <w:t>87</w:t>
      </w:r>
      <w:r w:rsidR="00DC1E7F" w:rsidRPr="00FD2457">
        <w:rPr>
          <w:rFonts w:ascii="Times New Roman" w:hAnsi="Times New Roman" w:cs="Times New Roman"/>
          <w:sz w:val="24"/>
          <w:szCs w:val="24"/>
        </w:rPr>
        <w:t xml:space="preserve">, II do Provimento </w:t>
      </w:r>
      <w:r w:rsidR="00DC1E7F">
        <w:rPr>
          <w:rFonts w:ascii="Times New Roman" w:hAnsi="Times New Roman" w:cs="Times New Roman"/>
          <w:sz w:val="24"/>
          <w:szCs w:val="24"/>
        </w:rPr>
        <w:t>93</w:t>
      </w:r>
      <w:r w:rsidR="00DC1E7F" w:rsidRPr="00FD2457">
        <w:rPr>
          <w:rFonts w:ascii="Times New Roman" w:hAnsi="Times New Roman" w:cs="Times New Roman"/>
          <w:sz w:val="24"/>
          <w:szCs w:val="24"/>
        </w:rPr>
        <w:t>/</w:t>
      </w:r>
      <w:r w:rsidR="00DC1E7F">
        <w:rPr>
          <w:rFonts w:ascii="Times New Roman" w:hAnsi="Times New Roman" w:cs="Times New Roman"/>
          <w:sz w:val="24"/>
          <w:szCs w:val="24"/>
        </w:rPr>
        <w:t>2020</w:t>
      </w:r>
      <w:r w:rsidR="00DC1E7F" w:rsidRPr="00FD2457">
        <w:rPr>
          <w:rFonts w:ascii="Times New Roman" w:hAnsi="Times New Roman" w:cs="Times New Roman"/>
          <w:sz w:val="24"/>
          <w:szCs w:val="24"/>
        </w:rPr>
        <w:t xml:space="preserve"> CGJ-MG</w:t>
      </w:r>
      <w:r w:rsidRPr="00FD2457">
        <w:rPr>
          <w:rFonts w:ascii="Times New Roman" w:hAnsi="Times New Roman" w:cs="Times New Roman"/>
          <w:sz w:val="24"/>
          <w:szCs w:val="24"/>
        </w:rPr>
        <w:t xml:space="preserve">. </w:t>
      </w:r>
    </w:p>
    <w:p w14:paraId="550CD13D" w14:textId="77777777" w:rsidR="008174A3" w:rsidRDefault="00FD2457" w:rsidP="008174A3">
      <w:pPr>
        <w:ind w:left="426"/>
        <w:jc w:val="both"/>
        <w:rPr>
          <w:rFonts w:ascii="Times New Roman" w:hAnsi="Times New Roman" w:cs="Times New Roman"/>
          <w:sz w:val="24"/>
          <w:szCs w:val="24"/>
        </w:rPr>
      </w:pPr>
      <w:r w:rsidRPr="00FD2457">
        <w:rPr>
          <w:rFonts w:ascii="Times New Roman" w:hAnsi="Times New Roman" w:cs="Times New Roman"/>
          <w:sz w:val="24"/>
          <w:szCs w:val="24"/>
        </w:rPr>
        <w:sym w:font="Symbol" w:char="F0B7"/>
      </w:r>
      <w:r w:rsidRPr="00FD2457">
        <w:rPr>
          <w:rFonts w:ascii="Times New Roman" w:hAnsi="Times New Roman" w:cs="Times New Roman"/>
          <w:sz w:val="24"/>
          <w:szCs w:val="24"/>
        </w:rPr>
        <w:t xml:space="preserve"> </w:t>
      </w:r>
      <w:r w:rsidRPr="008174A3">
        <w:rPr>
          <w:rFonts w:ascii="Times New Roman" w:hAnsi="Times New Roman" w:cs="Times New Roman"/>
          <w:b/>
          <w:bCs/>
          <w:sz w:val="24"/>
          <w:szCs w:val="24"/>
        </w:rPr>
        <w:t>Certidão de Inteiro Teor da Matrícula</w:t>
      </w:r>
      <w:r w:rsidRPr="00FD2457">
        <w:rPr>
          <w:rFonts w:ascii="Times New Roman" w:hAnsi="Times New Roman" w:cs="Times New Roman"/>
          <w:sz w:val="24"/>
          <w:szCs w:val="24"/>
        </w:rPr>
        <w:t xml:space="preserve"> </w:t>
      </w:r>
    </w:p>
    <w:p w14:paraId="581C5AC0" w14:textId="340F967C"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A apresentação e arquivamento da Certidão de Inteiro Teor da Matrícula ou do Registro deve estar mencionada na escritura ou no contrato, pois é documento necessário, não podendo ser dispensado. </w:t>
      </w:r>
    </w:p>
    <w:p w14:paraId="6C84DD83" w14:textId="2E538DCD"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Fundamentação: Artigo 1º, IV, Decreto 93.240/86. Artigo 1</w:t>
      </w:r>
      <w:r w:rsidR="00DC1E7F">
        <w:rPr>
          <w:rFonts w:ascii="Times New Roman" w:hAnsi="Times New Roman" w:cs="Times New Roman"/>
          <w:sz w:val="24"/>
          <w:szCs w:val="24"/>
        </w:rPr>
        <w:t>87</w:t>
      </w:r>
      <w:r w:rsidRPr="00FD2457">
        <w:rPr>
          <w:rFonts w:ascii="Times New Roman" w:hAnsi="Times New Roman" w:cs="Times New Roman"/>
          <w:sz w:val="24"/>
          <w:szCs w:val="24"/>
        </w:rPr>
        <w:t xml:space="preserve">, III, do Prov. </w:t>
      </w:r>
      <w:r w:rsidR="00DC1E7F">
        <w:rPr>
          <w:rFonts w:ascii="Times New Roman" w:hAnsi="Times New Roman" w:cs="Times New Roman"/>
          <w:sz w:val="24"/>
          <w:szCs w:val="24"/>
        </w:rPr>
        <w:t>93</w:t>
      </w:r>
      <w:r w:rsidRPr="00FD2457">
        <w:rPr>
          <w:rFonts w:ascii="Times New Roman" w:hAnsi="Times New Roman" w:cs="Times New Roman"/>
          <w:sz w:val="24"/>
          <w:szCs w:val="24"/>
        </w:rPr>
        <w:t>/20</w:t>
      </w:r>
      <w:r w:rsidR="00DC1E7F">
        <w:rPr>
          <w:rFonts w:ascii="Times New Roman" w:hAnsi="Times New Roman" w:cs="Times New Roman"/>
          <w:sz w:val="24"/>
          <w:szCs w:val="24"/>
        </w:rPr>
        <w:t>20</w:t>
      </w:r>
      <w:r w:rsidRPr="00FD2457">
        <w:rPr>
          <w:rFonts w:ascii="Times New Roman" w:hAnsi="Times New Roman" w:cs="Times New Roman"/>
          <w:sz w:val="24"/>
          <w:szCs w:val="24"/>
        </w:rPr>
        <w:t xml:space="preserve">. Artigo 1º, §2º da Lei 7.433/85. </w:t>
      </w:r>
    </w:p>
    <w:p w14:paraId="1B438482" w14:textId="77777777" w:rsidR="008174A3" w:rsidRPr="008174A3" w:rsidRDefault="00FD2457" w:rsidP="008174A3">
      <w:pPr>
        <w:ind w:left="426"/>
        <w:jc w:val="both"/>
        <w:rPr>
          <w:rFonts w:ascii="Times New Roman" w:hAnsi="Times New Roman" w:cs="Times New Roman"/>
          <w:b/>
          <w:bCs/>
          <w:sz w:val="24"/>
          <w:szCs w:val="24"/>
        </w:rPr>
      </w:pPr>
      <w:r w:rsidRPr="008174A3">
        <w:rPr>
          <w:rFonts w:ascii="Times New Roman" w:hAnsi="Times New Roman" w:cs="Times New Roman"/>
          <w:b/>
          <w:bCs/>
          <w:sz w:val="24"/>
          <w:szCs w:val="24"/>
        </w:rPr>
        <w:sym w:font="Symbol" w:char="F0B7"/>
      </w:r>
      <w:r w:rsidRPr="008174A3">
        <w:rPr>
          <w:rFonts w:ascii="Times New Roman" w:hAnsi="Times New Roman" w:cs="Times New Roman"/>
          <w:b/>
          <w:bCs/>
          <w:sz w:val="24"/>
          <w:szCs w:val="24"/>
        </w:rPr>
        <w:t xml:space="preserve"> Certidão de ônus Reais e Ações Pessoais reipersecutórias da Matrícula </w:t>
      </w:r>
    </w:p>
    <w:p w14:paraId="7AE230E0" w14:textId="74F5F84C"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A apresentação e arquivamento da Certidão de ônus reais e de ações reais e pessoais reipersecutórias da Matrícula ou do Registro deve estar mencionada na escritura ou no contrato, pois é documento necessário, não podendo ser dispensado. </w:t>
      </w:r>
    </w:p>
    <w:p w14:paraId="4D1558FF" w14:textId="4032E0AD" w:rsidR="00FD2457" w:rsidRP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OBS: Para os títulos elaborados após 07 de novembro de 2014, na vigência da Medida Provisória 656/2014 (Convertida na Lei 13.097/2015), não há a exigibilidade da Certidão de Ações reais.</w:t>
      </w:r>
    </w:p>
    <w:p w14:paraId="2AAD1E58" w14:textId="774FB384"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Fundamentação: Art. 1º, IV, Decreto 93.240/86. Art. </w:t>
      </w:r>
      <w:r w:rsidR="00D6503C">
        <w:rPr>
          <w:rFonts w:ascii="Times New Roman" w:hAnsi="Times New Roman" w:cs="Times New Roman"/>
          <w:sz w:val="24"/>
          <w:szCs w:val="24"/>
        </w:rPr>
        <w:t>187</w:t>
      </w:r>
      <w:r w:rsidRPr="00FD2457">
        <w:rPr>
          <w:rFonts w:ascii="Times New Roman" w:hAnsi="Times New Roman" w:cs="Times New Roman"/>
          <w:sz w:val="24"/>
          <w:szCs w:val="24"/>
        </w:rPr>
        <w:t xml:space="preserve">, IV, do Prov. </w:t>
      </w:r>
      <w:r w:rsidR="00D6503C">
        <w:rPr>
          <w:rFonts w:ascii="Times New Roman" w:hAnsi="Times New Roman" w:cs="Times New Roman"/>
          <w:sz w:val="24"/>
          <w:szCs w:val="24"/>
        </w:rPr>
        <w:t>93/2020</w:t>
      </w:r>
      <w:r w:rsidRPr="00FD2457">
        <w:rPr>
          <w:rFonts w:ascii="Times New Roman" w:hAnsi="Times New Roman" w:cs="Times New Roman"/>
          <w:sz w:val="24"/>
          <w:szCs w:val="24"/>
        </w:rPr>
        <w:t xml:space="preserve">. Art. 59 da lei 13.097, de 2015 que altera a Lei 7.433/85. Artigo 1º, §2º da Lei 7.433/85. </w:t>
      </w:r>
    </w:p>
    <w:p w14:paraId="12DE1DB0" w14:textId="77777777" w:rsidR="00DD6424" w:rsidRPr="00DD6424" w:rsidRDefault="00FD2457" w:rsidP="00DD6424">
      <w:pPr>
        <w:ind w:left="426"/>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Certidão de Cadastro e Inscrição do Imóvel </w:t>
      </w:r>
    </w:p>
    <w:p w14:paraId="0085F25B" w14:textId="5FD2A008"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Certidão de cadastro e inscrição imobiliária</w:t>
      </w:r>
      <w:r w:rsidR="004A78FC">
        <w:rPr>
          <w:rFonts w:ascii="Times New Roman" w:hAnsi="Times New Roman" w:cs="Times New Roman"/>
          <w:sz w:val="24"/>
          <w:szCs w:val="24"/>
        </w:rPr>
        <w:t xml:space="preserve"> (designação cadastral)</w:t>
      </w:r>
      <w:r w:rsidRPr="00FD2457">
        <w:rPr>
          <w:rFonts w:ascii="Times New Roman" w:hAnsi="Times New Roman" w:cs="Times New Roman"/>
          <w:sz w:val="24"/>
          <w:szCs w:val="24"/>
        </w:rPr>
        <w:t xml:space="preserve"> do imóvel emitida pela prefeitura. </w:t>
      </w:r>
    </w:p>
    <w:p w14:paraId="350F932E"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Fundamentação: Art. 176, da Lei de Registros Públicos (Lei 6.015/73). </w:t>
      </w:r>
    </w:p>
    <w:p w14:paraId="33566A13" w14:textId="18DB755B" w:rsidR="00FD2457" w:rsidRPr="008A69B1" w:rsidRDefault="00FD2457" w:rsidP="00DD6424">
      <w:pPr>
        <w:ind w:left="426"/>
        <w:jc w:val="both"/>
        <w:rPr>
          <w:rFonts w:ascii="Times New Roman" w:hAnsi="Times New Roman" w:cs="Times New Roman"/>
          <w:b/>
          <w:bCs/>
          <w:color w:val="FF0000"/>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Certidão de Valor Venal do Imóvel </w:t>
      </w:r>
    </w:p>
    <w:p w14:paraId="74E16494"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Certidão de Valor Venal do imóvel emitida pela prefeitura atualizada*. </w:t>
      </w:r>
    </w:p>
    <w:p w14:paraId="3631E8EB" w14:textId="33C15670" w:rsidR="008A69B1"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*Caso o título tenha sido lavrado em ano anterior ao apresentado para registro. Fundamentação: Art. </w:t>
      </w:r>
      <w:r w:rsidR="00D6503C">
        <w:rPr>
          <w:rFonts w:ascii="Times New Roman" w:hAnsi="Times New Roman" w:cs="Times New Roman"/>
          <w:sz w:val="24"/>
          <w:szCs w:val="24"/>
        </w:rPr>
        <w:t>135</w:t>
      </w:r>
      <w:r w:rsidRPr="00FD2457">
        <w:rPr>
          <w:rFonts w:ascii="Times New Roman" w:hAnsi="Times New Roman" w:cs="Times New Roman"/>
          <w:sz w:val="24"/>
          <w:szCs w:val="24"/>
        </w:rPr>
        <w:t xml:space="preserve">, do Provimento nº. </w:t>
      </w:r>
      <w:r w:rsidR="00D6503C">
        <w:rPr>
          <w:rFonts w:ascii="Times New Roman" w:hAnsi="Times New Roman" w:cs="Times New Roman"/>
          <w:sz w:val="24"/>
          <w:szCs w:val="24"/>
        </w:rPr>
        <w:t>93</w:t>
      </w:r>
      <w:r w:rsidRPr="00FD2457">
        <w:rPr>
          <w:rFonts w:ascii="Times New Roman" w:hAnsi="Times New Roman" w:cs="Times New Roman"/>
          <w:sz w:val="24"/>
          <w:szCs w:val="24"/>
        </w:rPr>
        <w:t>/CGJMG/20</w:t>
      </w:r>
      <w:r w:rsidR="00D6503C">
        <w:rPr>
          <w:rFonts w:ascii="Times New Roman" w:hAnsi="Times New Roman" w:cs="Times New Roman"/>
          <w:sz w:val="24"/>
          <w:szCs w:val="24"/>
        </w:rPr>
        <w:t xml:space="preserve">20 </w:t>
      </w:r>
      <w:r w:rsidRPr="00FD2457">
        <w:rPr>
          <w:rFonts w:ascii="Times New Roman" w:hAnsi="Times New Roman" w:cs="Times New Roman"/>
          <w:sz w:val="24"/>
          <w:szCs w:val="24"/>
        </w:rPr>
        <w:t xml:space="preserve">c/c art. 10, § 3º, II da Lei 15.424/2004. </w:t>
      </w:r>
    </w:p>
    <w:p w14:paraId="51D2A19B" w14:textId="77777777" w:rsidR="00FD2457" w:rsidRPr="00DD6424" w:rsidRDefault="00FD2457" w:rsidP="00FD2457">
      <w:pPr>
        <w:jc w:val="both"/>
        <w:rPr>
          <w:rFonts w:ascii="Times New Roman" w:hAnsi="Times New Roman" w:cs="Times New Roman"/>
          <w:b/>
          <w:bCs/>
          <w:sz w:val="24"/>
          <w:szCs w:val="24"/>
        </w:rPr>
      </w:pPr>
      <w:r w:rsidRPr="00DD6424">
        <w:rPr>
          <w:rFonts w:ascii="Times New Roman" w:hAnsi="Times New Roman" w:cs="Times New Roman"/>
          <w:b/>
          <w:bCs/>
          <w:sz w:val="24"/>
          <w:szCs w:val="24"/>
        </w:rPr>
        <w:t xml:space="preserve">DOS DOCUMENTOS NECESSÁRIOS AO REGISTRO: </w:t>
      </w:r>
    </w:p>
    <w:p w14:paraId="3035328C" w14:textId="77777777" w:rsidR="00FD2457" w:rsidRPr="00DD6424" w:rsidRDefault="00FD2457" w:rsidP="00FD2457">
      <w:pPr>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Documento de Identificação (</w:t>
      </w:r>
      <w:proofErr w:type="gramStart"/>
      <w:r w:rsidRPr="00DD6424">
        <w:rPr>
          <w:rFonts w:ascii="Times New Roman" w:hAnsi="Times New Roman" w:cs="Times New Roman"/>
          <w:b/>
          <w:bCs/>
          <w:sz w:val="24"/>
          <w:szCs w:val="24"/>
        </w:rPr>
        <w:t>CI.RG</w:t>
      </w:r>
      <w:proofErr w:type="gramEnd"/>
      <w:r w:rsidRPr="00DD6424">
        <w:rPr>
          <w:rFonts w:ascii="Times New Roman" w:hAnsi="Times New Roman" w:cs="Times New Roman"/>
          <w:b/>
          <w:bCs/>
          <w:sz w:val="24"/>
          <w:szCs w:val="24"/>
        </w:rPr>
        <w:t xml:space="preserve">, CNH, CTPS, etc.), CPF, Certidões do Registro Civil, Contratos Sociais e alterações, Certidões da JUCEMG ou do Registro Civil das Pessoas Jurídicas e procurações. </w:t>
      </w:r>
    </w:p>
    <w:p w14:paraId="67E8BE19" w14:textId="0B711E4C"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Para os instrumentos particulares, em regra é necessário a apresentação de cópias autenticadas dos documentos pessoais das partes envolvidas, conforme qualificação no referido instrumento, tais como RG, CPF, Certidões do Registro Civil, Contratos Sociais, Certidões da Jucemg ou do Registro Civil das Pessoas Jurídicas e procurações. Em se tratando de instrumentos particulares com força de escritura pública, enquadrados em programas sociais (SFH, PMCMV, COHAB, FAR, PAR, PROMORAR, etc.), o RG e o CPF poderão ser</w:t>
      </w:r>
      <w:r w:rsidR="004A78FC">
        <w:rPr>
          <w:rFonts w:ascii="Times New Roman" w:hAnsi="Times New Roman" w:cs="Times New Roman"/>
          <w:sz w:val="24"/>
          <w:szCs w:val="24"/>
        </w:rPr>
        <w:t xml:space="preserve"> apresentados em cópia simples. </w:t>
      </w:r>
    </w:p>
    <w:p w14:paraId="0DDDA78A" w14:textId="1B1DE314" w:rsidR="003D2704" w:rsidRDefault="00FD2457" w:rsidP="003D2704">
      <w:pPr>
        <w:jc w:val="both"/>
        <w:rPr>
          <w:rFonts w:ascii="Times New Roman" w:hAnsi="Times New Roman" w:cs="Times New Roman"/>
          <w:sz w:val="24"/>
          <w:szCs w:val="24"/>
        </w:rPr>
      </w:pPr>
      <w:r w:rsidRPr="00FD2457">
        <w:rPr>
          <w:rFonts w:ascii="Times New Roman" w:hAnsi="Times New Roman" w:cs="Times New Roman"/>
          <w:sz w:val="24"/>
          <w:szCs w:val="24"/>
        </w:rPr>
        <w:t>OBSERVAÇÕES: A) Nos casos em que a lei atribuir a documento particular efeitos de escritura pública, a referida documentação poderá ser dispensada mediante a expressa menção no título por parte do Banco credor (carimbo e assinatura do gerente responsável) de que “foi apresentada para a instituição Bancária, e por esta se encontra arquivada toda documentação necessária para a lavratura deste instrumento, dispensando-se assim sua apresentação no Ofício do 2º Registro</w:t>
      </w:r>
      <w:r w:rsidR="003D2704">
        <w:rPr>
          <w:rFonts w:ascii="Times New Roman" w:hAnsi="Times New Roman" w:cs="Times New Roman"/>
          <w:sz w:val="24"/>
          <w:szCs w:val="24"/>
        </w:rPr>
        <w:t xml:space="preserve"> de Imóveis de Montes Claros-MG</w:t>
      </w:r>
      <w:r w:rsidRPr="00FD2457">
        <w:rPr>
          <w:rFonts w:ascii="Times New Roman" w:hAnsi="Times New Roman" w:cs="Times New Roman"/>
          <w:sz w:val="24"/>
          <w:szCs w:val="24"/>
        </w:rPr>
        <w:t>”</w:t>
      </w:r>
      <w:r w:rsidR="003D2704">
        <w:rPr>
          <w:rFonts w:ascii="Times New Roman" w:hAnsi="Times New Roman" w:cs="Times New Roman"/>
          <w:sz w:val="24"/>
          <w:szCs w:val="24"/>
        </w:rPr>
        <w:t xml:space="preserve">, nos termos do art. 878, §1, do Provimento Conjunto 93/CGJ/2020. </w:t>
      </w:r>
    </w:p>
    <w:p w14:paraId="547200C1"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B) O documento comprobatório necessário à averbação será apresentado em cópia autenticada. </w:t>
      </w:r>
    </w:p>
    <w:p w14:paraId="7A5C2AC3" w14:textId="7777777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C</w:t>
      </w:r>
      <w:r w:rsidRPr="00A36533">
        <w:rPr>
          <w:rFonts w:ascii="Times New Roman" w:hAnsi="Times New Roman" w:cs="Times New Roman"/>
          <w:sz w:val="24"/>
          <w:szCs w:val="24"/>
        </w:rPr>
        <w:t>) Nos casos em que estão gravados os nomes do marido e esposa utilizando o mesmo CPF, necessário se faz uma alteração cadastral com o intuito de individualizar a inscrição de cada um deles junto a Receita Federal. E, nos casos de espólio quando o de cujus não possuir número de inscrição no CPF deverá ser solicitada a inscrição do mesmo junto ao cadastro de pessoa física para viabilizar as operações imobiliárias. Em ambos os casos os interessados deverão se dirigir a uma unidade da Receita Federal para solicitarem as referidas inscrições no CPF. Para saber a documentação necessária a ser apresentada acesse o sítio da RFB no endereço http://www.receita.fazenda.gov.br - opção “Serviços”, “Cadastro CPF e CNPJ”, “Cadastro de Pessoas Físicas – CPF”, “Orientações ao contribuinte”, “O que Fazer?”. Nesta página estão relacionados todos os procedimentos referentes a cada situação.</w:t>
      </w:r>
      <w:r w:rsidRPr="00FD2457">
        <w:rPr>
          <w:rFonts w:ascii="Times New Roman" w:hAnsi="Times New Roman" w:cs="Times New Roman"/>
          <w:sz w:val="24"/>
          <w:szCs w:val="24"/>
        </w:rPr>
        <w:t xml:space="preserve"> </w:t>
      </w:r>
    </w:p>
    <w:p w14:paraId="329E96B5" w14:textId="2B7C7C5E" w:rsidR="00FD2457" w:rsidRPr="006074F1"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D) Para instrumentos particulares, deverá ser apresentado original ou cópia autenticada </w:t>
      </w:r>
      <w:r w:rsidRPr="006074F1">
        <w:rPr>
          <w:rFonts w:ascii="Times New Roman" w:hAnsi="Times New Roman" w:cs="Times New Roman"/>
          <w:sz w:val="24"/>
          <w:szCs w:val="24"/>
        </w:rPr>
        <w:t>da Certidão de Casamento/Nascimento dos ADQUIRENTES e TRANSMITENTES, expedida no máx</w:t>
      </w:r>
      <w:r w:rsidR="00A36533" w:rsidRPr="006074F1">
        <w:rPr>
          <w:rFonts w:ascii="Times New Roman" w:hAnsi="Times New Roman" w:cs="Times New Roman"/>
          <w:sz w:val="24"/>
          <w:szCs w:val="24"/>
        </w:rPr>
        <w:t>imo 90 (noventa) dias da data da formalização do título</w:t>
      </w:r>
      <w:r w:rsidRPr="006074F1">
        <w:rPr>
          <w:rFonts w:ascii="Times New Roman" w:hAnsi="Times New Roman" w:cs="Times New Roman"/>
          <w:sz w:val="24"/>
          <w:szCs w:val="24"/>
        </w:rPr>
        <w:t xml:space="preserve">. </w:t>
      </w:r>
      <w:r w:rsidR="008A69B1" w:rsidRPr="006074F1">
        <w:rPr>
          <w:rFonts w:ascii="Times New Roman" w:hAnsi="Times New Roman" w:cs="Times New Roman"/>
          <w:sz w:val="24"/>
          <w:szCs w:val="24"/>
        </w:rPr>
        <w:t>(em casos SFH e PCVA, poderá ser em cópia simples, salvo quando for necessário utilizar as certidões para averbação).</w:t>
      </w:r>
    </w:p>
    <w:p w14:paraId="24037DDA" w14:textId="11779753" w:rsidR="00FD2457" w:rsidRDefault="00FD2457" w:rsidP="00FD2457">
      <w:pPr>
        <w:jc w:val="both"/>
        <w:rPr>
          <w:rFonts w:ascii="Times New Roman" w:hAnsi="Times New Roman" w:cs="Times New Roman"/>
          <w:sz w:val="24"/>
          <w:szCs w:val="24"/>
        </w:rPr>
      </w:pPr>
      <w:r w:rsidRPr="006074F1">
        <w:rPr>
          <w:rFonts w:ascii="Times New Roman" w:hAnsi="Times New Roman" w:cs="Times New Roman"/>
          <w:sz w:val="24"/>
          <w:szCs w:val="24"/>
        </w:rPr>
        <w:t xml:space="preserve">E) Quando o(s) adquirente(s) ou transmitente(s) forem pessoas jurídicas deverão apresentar: I. cópia autenticada ou original </w:t>
      </w:r>
      <w:r w:rsidR="008A69B1" w:rsidRPr="006074F1">
        <w:rPr>
          <w:rFonts w:ascii="Times New Roman" w:hAnsi="Times New Roman" w:cs="Times New Roman"/>
          <w:sz w:val="24"/>
          <w:szCs w:val="24"/>
        </w:rPr>
        <w:t xml:space="preserve">(ou cópia simples com possibilidade de validação online) </w:t>
      </w:r>
      <w:r w:rsidRPr="006074F1">
        <w:rPr>
          <w:rFonts w:ascii="Times New Roman" w:hAnsi="Times New Roman" w:cs="Times New Roman"/>
          <w:sz w:val="24"/>
          <w:szCs w:val="24"/>
        </w:rPr>
        <w:t>dos atos constitutivos atualizados da pessoa jurídica: Contrato Social e alterações posteriores devidamente registrados na Junta Comercial/Registro Civil de Pessoa Jurídica*; *ou alteração contratual com consolidação. II. cópia autenticada ou original</w:t>
      </w:r>
      <w:r w:rsidR="008A69B1" w:rsidRPr="006074F1">
        <w:rPr>
          <w:rFonts w:ascii="Times New Roman" w:hAnsi="Times New Roman" w:cs="Times New Roman"/>
          <w:sz w:val="24"/>
          <w:szCs w:val="24"/>
        </w:rPr>
        <w:t>, (ou cópia simples com possibilidade de validação online)</w:t>
      </w:r>
      <w:r w:rsidRPr="006074F1">
        <w:rPr>
          <w:rFonts w:ascii="Times New Roman" w:hAnsi="Times New Roman" w:cs="Times New Roman"/>
          <w:sz w:val="24"/>
          <w:szCs w:val="24"/>
        </w:rPr>
        <w:t xml:space="preserve"> da Certidão</w:t>
      </w:r>
      <w:r w:rsidR="00A36533" w:rsidRPr="006074F1">
        <w:rPr>
          <w:rFonts w:ascii="Times New Roman" w:hAnsi="Times New Roman" w:cs="Times New Roman"/>
          <w:sz w:val="24"/>
          <w:szCs w:val="24"/>
        </w:rPr>
        <w:t xml:space="preserve"> simplificada</w:t>
      </w:r>
      <w:r w:rsidRPr="006074F1">
        <w:rPr>
          <w:rFonts w:ascii="Times New Roman" w:hAnsi="Times New Roman" w:cs="Times New Roman"/>
          <w:sz w:val="24"/>
          <w:szCs w:val="24"/>
        </w:rPr>
        <w:t xml:space="preserve"> emitida pela Junta Comercial/</w:t>
      </w:r>
      <w:r w:rsidR="00A36533">
        <w:rPr>
          <w:rFonts w:ascii="Times New Roman" w:hAnsi="Times New Roman" w:cs="Times New Roman"/>
          <w:sz w:val="24"/>
          <w:szCs w:val="24"/>
        </w:rPr>
        <w:t xml:space="preserve">Certidão de </w:t>
      </w:r>
      <w:r w:rsidRPr="00FD2457">
        <w:rPr>
          <w:rFonts w:ascii="Times New Roman" w:hAnsi="Times New Roman" w:cs="Times New Roman"/>
          <w:sz w:val="24"/>
          <w:szCs w:val="24"/>
        </w:rPr>
        <w:t xml:space="preserve">Registro Civil de Pessoa Jurídica, de registro dos referidos atos, expedida há no máximo 30 (trinta) dias da data do protocolo nesta Serventia. </w:t>
      </w:r>
    </w:p>
    <w:p w14:paraId="551A31F4" w14:textId="0C942CEE"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F) Os documentos mencionados neste item serão arquivados nesta Serventia. Informe-se quanto a existência dos referidos documentos nesta Serventia, pois neste caso bastará apenas atualizações</w:t>
      </w:r>
      <w:r>
        <w:rPr>
          <w:rFonts w:ascii="Times New Roman" w:hAnsi="Times New Roman" w:cs="Times New Roman"/>
          <w:sz w:val="24"/>
          <w:szCs w:val="24"/>
        </w:rPr>
        <w:t>.</w:t>
      </w:r>
    </w:p>
    <w:p w14:paraId="44D2E1CC" w14:textId="12EE9C47" w:rsidR="00FD2457"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Fundamentação: Artigos 1</w:t>
      </w:r>
      <w:r w:rsidR="00D6503C">
        <w:rPr>
          <w:rFonts w:ascii="Times New Roman" w:hAnsi="Times New Roman" w:cs="Times New Roman"/>
          <w:sz w:val="24"/>
          <w:szCs w:val="24"/>
        </w:rPr>
        <w:t>89</w:t>
      </w:r>
      <w:r w:rsidRPr="00FD2457">
        <w:rPr>
          <w:rFonts w:ascii="Times New Roman" w:hAnsi="Times New Roman" w:cs="Times New Roman"/>
          <w:sz w:val="24"/>
          <w:szCs w:val="24"/>
        </w:rPr>
        <w:t xml:space="preserve">, I, III e V, </w:t>
      </w:r>
      <w:r w:rsidR="00D6503C">
        <w:rPr>
          <w:rFonts w:ascii="Times New Roman" w:hAnsi="Times New Roman" w:cs="Times New Roman"/>
          <w:sz w:val="24"/>
          <w:szCs w:val="24"/>
        </w:rPr>
        <w:t>867</w:t>
      </w:r>
      <w:r w:rsidRPr="00FD2457">
        <w:rPr>
          <w:rFonts w:ascii="Times New Roman" w:hAnsi="Times New Roman" w:cs="Times New Roman"/>
          <w:sz w:val="24"/>
          <w:szCs w:val="24"/>
        </w:rPr>
        <w:t xml:space="preserve">, </w:t>
      </w:r>
      <w:r w:rsidR="00D6503C">
        <w:rPr>
          <w:rFonts w:ascii="Times New Roman" w:hAnsi="Times New Roman" w:cs="Times New Roman"/>
          <w:sz w:val="24"/>
          <w:szCs w:val="24"/>
        </w:rPr>
        <w:t>869</w:t>
      </w:r>
      <w:r w:rsidRPr="00FD2457">
        <w:rPr>
          <w:rFonts w:ascii="Times New Roman" w:hAnsi="Times New Roman" w:cs="Times New Roman"/>
          <w:sz w:val="24"/>
          <w:szCs w:val="24"/>
        </w:rPr>
        <w:t xml:space="preserve">, </w:t>
      </w:r>
      <w:r w:rsidR="00D6503C">
        <w:rPr>
          <w:rFonts w:ascii="Times New Roman" w:hAnsi="Times New Roman" w:cs="Times New Roman"/>
          <w:sz w:val="24"/>
          <w:szCs w:val="24"/>
        </w:rPr>
        <w:t>877</w:t>
      </w:r>
      <w:r w:rsidRPr="00FD2457">
        <w:rPr>
          <w:rFonts w:ascii="Times New Roman" w:hAnsi="Times New Roman" w:cs="Times New Roman"/>
          <w:sz w:val="24"/>
          <w:szCs w:val="24"/>
        </w:rPr>
        <w:t xml:space="preserve">, </w:t>
      </w:r>
      <w:r w:rsidR="00D6503C">
        <w:rPr>
          <w:rFonts w:ascii="Times New Roman" w:hAnsi="Times New Roman" w:cs="Times New Roman"/>
          <w:sz w:val="24"/>
          <w:szCs w:val="24"/>
        </w:rPr>
        <w:t>878</w:t>
      </w:r>
      <w:r w:rsidRPr="00FD2457">
        <w:rPr>
          <w:rFonts w:ascii="Times New Roman" w:hAnsi="Times New Roman" w:cs="Times New Roman"/>
          <w:sz w:val="24"/>
          <w:szCs w:val="24"/>
        </w:rPr>
        <w:t>, §1º do Provimento</w:t>
      </w:r>
      <w:r w:rsidR="00D6503C">
        <w:rPr>
          <w:rFonts w:ascii="Times New Roman" w:hAnsi="Times New Roman" w:cs="Times New Roman"/>
          <w:sz w:val="24"/>
          <w:szCs w:val="24"/>
        </w:rPr>
        <w:t xml:space="preserve"> 93</w:t>
      </w:r>
      <w:r w:rsidRPr="00FD2457">
        <w:rPr>
          <w:rFonts w:ascii="Times New Roman" w:hAnsi="Times New Roman" w:cs="Times New Roman"/>
          <w:sz w:val="24"/>
          <w:szCs w:val="24"/>
        </w:rPr>
        <w:t>/CGJMG/20</w:t>
      </w:r>
      <w:r w:rsidR="00D6503C">
        <w:rPr>
          <w:rFonts w:ascii="Times New Roman" w:hAnsi="Times New Roman" w:cs="Times New Roman"/>
          <w:sz w:val="24"/>
          <w:szCs w:val="24"/>
        </w:rPr>
        <w:t>20</w:t>
      </w:r>
      <w:r w:rsidRPr="00FD2457">
        <w:rPr>
          <w:rFonts w:ascii="Times New Roman" w:hAnsi="Times New Roman" w:cs="Times New Roman"/>
          <w:sz w:val="24"/>
          <w:szCs w:val="24"/>
        </w:rPr>
        <w:t xml:space="preserve">. </w:t>
      </w:r>
    </w:p>
    <w:p w14:paraId="33F5152F" w14:textId="74D496E4" w:rsidR="008A69B1" w:rsidRPr="008A69B1" w:rsidRDefault="00FD2457" w:rsidP="008A69B1">
      <w:pPr>
        <w:ind w:left="567"/>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ITBI </w:t>
      </w:r>
    </w:p>
    <w:p w14:paraId="2540B91A" w14:textId="548DC520" w:rsidR="00223603" w:rsidRPr="006074F1"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Vias originais da Guia do ITBI, com respectivo comprovante de pagamento, Inter vivos</w:t>
      </w:r>
      <w:r w:rsidR="00A36533">
        <w:rPr>
          <w:rFonts w:ascii="Times New Roman" w:hAnsi="Times New Roman" w:cs="Times New Roman"/>
          <w:sz w:val="24"/>
          <w:szCs w:val="24"/>
        </w:rPr>
        <w:t xml:space="preserve"> (se o for o caso, pois quando o recolhimento é via SEFIM, não há necessidade de apresentar inter vivos)</w:t>
      </w:r>
      <w:r w:rsidRPr="00FD2457">
        <w:rPr>
          <w:rFonts w:ascii="Times New Roman" w:hAnsi="Times New Roman" w:cs="Times New Roman"/>
          <w:sz w:val="24"/>
          <w:szCs w:val="24"/>
        </w:rPr>
        <w:t xml:space="preserve"> e Certidão de Quitação da Prefeitura quanto aos Tributos Municipais: O ITBI é cobrado pelo município nos casos de atos que importem em transmissão de bens imóveis ou de direitos a eles relativos, sendo que o oficial de registro de imóveis não poderá praticar atos, sem que o interessado apresente comprovante original do pagamento do imposto. Sendo assim, no ato de ingresso do título na </w:t>
      </w:r>
      <w:r w:rsidRPr="006074F1">
        <w:rPr>
          <w:rFonts w:ascii="Times New Roman" w:hAnsi="Times New Roman" w:cs="Times New Roman"/>
          <w:sz w:val="24"/>
          <w:szCs w:val="24"/>
        </w:rPr>
        <w:t>serventia para registro, deverão ser apresentados os originais da Guia do ITBI, com respectivo comprovante de pagamento, Inter vivos</w:t>
      </w:r>
      <w:r w:rsidR="00A36533" w:rsidRPr="006074F1">
        <w:rPr>
          <w:rFonts w:ascii="Times New Roman" w:hAnsi="Times New Roman" w:cs="Times New Roman"/>
          <w:sz w:val="24"/>
          <w:szCs w:val="24"/>
        </w:rPr>
        <w:t xml:space="preserve"> (se o for o caso, pois quando o recolhimento é via SEFIM, não há necessidade de apresentar inter vivos) </w:t>
      </w:r>
      <w:r w:rsidRPr="006074F1">
        <w:rPr>
          <w:rFonts w:ascii="Times New Roman" w:hAnsi="Times New Roman" w:cs="Times New Roman"/>
          <w:sz w:val="24"/>
          <w:szCs w:val="24"/>
        </w:rPr>
        <w:t xml:space="preserve">e Certidão de Quitação da Prefeitura (o comprovante de pagamento do imposto de transmissão deve ser apresentado e arquivado no ato da lavratura da escritura/contrato, salvo quando a lei autorizar o recolhimento após a lavratura, nos termos da Lei Complementar nº. 04 de 07/12/2005 – Código Tributário Municipal de Montes Claros-MG). </w:t>
      </w:r>
    </w:p>
    <w:p w14:paraId="128B119F" w14:textId="3BE511FB" w:rsidR="008A69B1" w:rsidRPr="006074F1" w:rsidRDefault="008A69B1" w:rsidP="00FD2457">
      <w:pPr>
        <w:jc w:val="both"/>
        <w:rPr>
          <w:rFonts w:ascii="Times New Roman" w:hAnsi="Times New Roman" w:cs="Times New Roman"/>
          <w:sz w:val="24"/>
          <w:szCs w:val="24"/>
        </w:rPr>
      </w:pPr>
      <w:r w:rsidRPr="006074F1">
        <w:rPr>
          <w:rFonts w:ascii="Times New Roman" w:hAnsi="Times New Roman" w:cs="Times New Roman"/>
          <w:sz w:val="24"/>
          <w:szCs w:val="24"/>
        </w:rPr>
        <w:t xml:space="preserve">Caso os documentos sejam emitidos via novo sistema do </w:t>
      </w:r>
      <w:r w:rsidR="006074F1" w:rsidRPr="006074F1">
        <w:rPr>
          <w:rFonts w:ascii="Times New Roman" w:hAnsi="Times New Roman" w:cs="Times New Roman"/>
          <w:sz w:val="24"/>
          <w:szCs w:val="24"/>
        </w:rPr>
        <w:t>Município</w:t>
      </w:r>
      <w:r w:rsidRPr="006074F1">
        <w:rPr>
          <w:rFonts w:ascii="Times New Roman" w:hAnsi="Times New Roman" w:cs="Times New Roman"/>
          <w:sz w:val="24"/>
          <w:szCs w:val="24"/>
        </w:rPr>
        <w:t xml:space="preserve"> de Montes Claros, ITBI Online, basta que apresente a </w:t>
      </w:r>
      <w:r w:rsidRPr="006074F1">
        <w:rPr>
          <w:rFonts w:ascii="Times New Roman" w:hAnsi="Times New Roman" w:cs="Times New Roman"/>
          <w:sz w:val="24"/>
          <w:szCs w:val="24"/>
          <w:shd w:val="clear" w:color="auto" w:fill="FFFFFF"/>
        </w:rPr>
        <w:t xml:space="preserve">Guia de Arrecadação de ITBI on-line </w:t>
      </w:r>
      <w:r w:rsidRPr="006074F1">
        <w:rPr>
          <w:rFonts w:ascii="Times New Roman" w:hAnsi="Times New Roman" w:cs="Times New Roman"/>
          <w:sz w:val="24"/>
          <w:szCs w:val="24"/>
        </w:rPr>
        <w:t>e Comprovante de recolhimento de ITBI.</w:t>
      </w:r>
    </w:p>
    <w:p w14:paraId="76EE3FBD" w14:textId="4A09D626" w:rsidR="00223603" w:rsidRDefault="00FD2457" w:rsidP="00FD2457">
      <w:pPr>
        <w:jc w:val="both"/>
        <w:rPr>
          <w:rFonts w:ascii="Times New Roman" w:hAnsi="Times New Roman" w:cs="Times New Roman"/>
          <w:sz w:val="24"/>
          <w:szCs w:val="24"/>
        </w:rPr>
      </w:pPr>
      <w:r w:rsidRPr="006074F1">
        <w:rPr>
          <w:rFonts w:ascii="Times New Roman" w:hAnsi="Times New Roman" w:cs="Times New Roman"/>
          <w:sz w:val="24"/>
          <w:szCs w:val="24"/>
        </w:rPr>
        <w:t>Fundamentação: Art. 1º, II, do Decreto 93.240/86. Artigo 1º, §2º da Lei 7.433/85; Art. 1</w:t>
      </w:r>
      <w:r w:rsidR="00D6503C" w:rsidRPr="006074F1">
        <w:rPr>
          <w:rFonts w:ascii="Times New Roman" w:hAnsi="Times New Roman" w:cs="Times New Roman"/>
          <w:sz w:val="24"/>
          <w:szCs w:val="24"/>
        </w:rPr>
        <w:t>87</w:t>
      </w:r>
      <w:r w:rsidRPr="006074F1">
        <w:rPr>
          <w:rFonts w:ascii="Times New Roman" w:hAnsi="Times New Roman" w:cs="Times New Roman"/>
          <w:sz w:val="24"/>
          <w:szCs w:val="24"/>
        </w:rPr>
        <w:t xml:space="preserve">, I e II, do Prov. </w:t>
      </w:r>
      <w:r w:rsidR="00D6503C" w:rsidRPr="006074F1">
        <w:rPr>
          <w:rFonts w:ascii="Times New Roman" w:hAnsi="Times New Roman" w:cs="Times New Roman"/>
          <w:sz w:val="24"/>
          <w:szCs w:val="24"/>
        </w:rPr>
        <w:t>93</w:t>
      </w:r>
      <w:r w:rsidRPr="006074F1">
        <w:rPr>
          <w:rFonts w:ascii="Times New Roman" w:hAnsi="Times New Roman" w:cs="Times New Roman"/>
          <w:sz w:val="24"/>
          <w:szCs w:val="24"/>
        </w:rPr>
        <w:t>/20</w:t>
      </w:r>
      <w:r w:rsidR="00D6503C" w:rsidRPr="006074F1">
        <w:rPr>
          <w:rFonts w:ascii="Times New Roman" w:hAnsi="Times New Roman" w:cs="Times New Roman"/>
          <w:sz w:val="24"/>
          <w:szCs w:val="24"/>
        </w:rPr>
        <w:t>20</w:t>
      </w:r>
      <w:r w:rsidRPr="006074F1">
        <w:rPr>
          <w:rFonts w:ascii="Times New Roman" w:hAnsi="Times New Roman" w:cs="Times New Roman"/>
          <w:sz w:val="24"/>
          <w:szCs w:val="24"/>
        </w:rPr>
        <w:t xml:space="preserve">. Artigos 46 e 49 do Código Tributário Municipal e Artigo 289 da Lei 6.015/73. </w:t>
      </w:r>
      <w:r w:rsidR="00E252B0" w:rsidRPr="006074F1">
        <w:rPr>
          <w:rFonts w:ascii="Times New Roman" w:hAnsi="Times New Roman" w:cs="Times New Roman"/>
          <w:sz w:val="24"/>
          <w:szCs w:val="24"/>
        </w:rPr>
        <w:t xml:space="preserve">Art. </w:t>
      </w:r>
      <w:r w:rsidR="00E252B0" w:rsidRPr="006074F1">
        <w:rPr>
          <w:rFonts w:ascii="Times New Roman" w:hAnsi="Times New Roman" w:cs="Times New Roman"/>
          <w:sz w:val="24"/>
          <w:szCs w:val="24"/>
          <w:shd w:val="clear" w:color="auto" w:fill="FFFFFF"/>
        </w:rPr>
        <w:t>8º do Decreto 4.245/2021</w:t>
      </w:r>
      <w:r w:rsidR="00E252B0">
        <w:rPr>
          <w:rFonts w:ascii="Arial" w:hAnsi="Arial" w:cs="Arial"/>
          <w:color w:val="222222"/>
          <w:shd w:val="clear" w:color="auto" w:fill="FFFFFF"/>
        </w:rPr>
        <w:t>.</w:t>
      </w:r>
    </w:p>
    <w:p w14:paraId="0D5C138F" w14:textId="77777777" w:rsidR="00DD6424" w:rsidRPr="00DD6424" w:rsidRDefault="00FD2457" w:rsidP="00DD6424">
      <w:pPr>
        <w:ind w:left="426"/>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Procuração </w:t>
      </w:r>
    </w:p>
    <w:p w14:paraId="60BB9ECB" w14:textId="509F6114"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Havendo representação por procurador: </w:t>
      </w:r>
    </w:p>
    <w:p w14:paraId="41D46B39"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Para os instrumentos particulares, deverá ser apresentada a procuração pública em via original ou certidão de procuração pública em via original, expedida no máximo 30 (trinta) dias da data do protocolo nesta Serventia. </w:t>
      </w:r>
    </w:p>
    <w:p w14:paraId="7364279C" w14:textId="77777777" w:rsidR="00223603" w:rsidRPr="00DD6424" w:rsidRDefault="00FD2457" w:rsidP="00FD2457">
      <w:pPr>
        <w:jc w:val="both"/>
        <w:rPr>
          <w:rFonts w:ascii="Times New Roman" w:hAnsi="Times New Roman" w:cs="Times New Roman"/>
          <w:b/>
          <w:bCs/>
          <w:sz w:val="24"/>
          <w:szCs w:val="24"/>
        </w:rPr>
      </w:pPr>
      <w:r w:rsidRPr="00DD6424">
        <w:rPr>
          <w:rFonts w:ascii="Times New Roman" w:hAnsi="Times New Roman" w:cs="Times New Roman"/>
          <w:b/>
          <w:bCs/>
          <w:sz w:val="24"/>
          <w:szCs w:val="24"/>
        </w:rPr>
        <w:t xml:space="preserve">OBSERVAÇÕES: </w:t>
      </w:r>
    </w:p>
    <w:p w14:paraId="2E8A41FA" w14:textId="77777777" w:rsidR="00A36533" w:rsidRDefault="00FD2457" w:rsidP="00A36533">
      <w:pPr>
        <w:jc w:val="both"/>
        <w:rPr>
          <w:rFonts w:ascii="Times New Roman" w:hAnsi="Times New Roman" w:cs="Times New Roman"/>
          <w:sz w:val="24"/>
          <w:szCs w:val="24"/>
        </w:rPr>
      </w:pPr>
      <w:r w:rsidRPr="00FD2457">
        <w:rPr>
          <w:rFonts w:ascii="Times New Roman" w:hAnsi="Times New Roman" w:cs="Times New Roman"/>
          <w:sz w:val="24"/>
          <w:szCs w:val="24"/>
        </w:rPr>
        <w:t xml:space="preserve">A) A referida documentação poderá ser dispensada mediante a expressa menção no título por parte do Banco credor (carimbo e assinatura do gerente responsável) de que “foi apresentada para a instituição Bancária, e por esta se encontra arquivada toda documentação necessária para a lavratura do instrumento particular com efeito de escritura pública, </w:t>
      </w:r>
      <w:r w:rsidRPr="00A36533">
        <w:rPr>
          <w:rFonts w:ascii="Times New Roman" w:hAnsi="Times New Roman" w:cs="Times New Roman"/>
          <w:sz w:val="24"/>
          <w:szCs w:val="24"/>
        </w:rPr>
        <w:t>dispensando-se assim sua apresentação no Oficio do 2º Registro de Imóveis de Montes Claros</w:t>
      </w:r>
      <w:r w:rsidR="00A36533" w:rsidRPr="00A36533">
        <w:rPr>
          <w:rFonts w:ascii="Times New Roman" w:hAnsi="Times New Roman" w:cs="Times New Roman"/>
          <w:sz w:val="24"/>
          <w:szCs w:val="24"/>
        </w:rPr>
        <w:t>-MG</w:t>
      </w:r>
      <w:r w:rsidRPr="00FD2457">
        <w:rPr>
          <w:rFonts w:ascii="Times New Roman" w:hAnsi="Times New Roman" w:cs="Times New Roman"/>
          <w:sz w:val="24"/>
          <w:szCs w:val="24"/>
        </w:rPr>
        <w:t>”</w:t>
      </w:r>
      <w:r w:rsidR="00A36533">
        <w:rPr>
          <w:rFonts w:ascii="Times New Roman" w:hAnsi="Times New Roman" w:cs="Times New Roman"/>
          <w:sz w:val="24"/>
          <w:szCs w:val="24"/>
        </w:rPr>
        <w:t xml:space="preserve">, nos termos do </w:t>
      </w:r>
      <w:r w:rsidR="00A36533" w:rsidRPr="00FD2457">
        <w:rPr>
          <w:rFonts w:ascii="Times New Roman" w:hAnsi="Times New Roman" w:cs="Times New Roman"/>
          <w:sz w:val="24"/>
          <w:szCs w:val="24"/>
        </w:rPr>
        <w:t xml:space="preserve"> </w:t>
      </w:r>
      <w:r w:rsidR="00A36533">
        <w:rPr>
          <w:rFonts w:ascii="Times New Roman" w:hAnsi="Times New Roman" w:cs="Times New Roman"/>
          <w:sz w:val="24"/>
          <w:szCs w:val="24"/>
        </w:rPr>
        <w:t xml:space="preserve">art. 878, §1, do Provimento Conjunto 93/CGJ/2020. </w:t>
      </w:r>
    </w:p>
    <w:p w14:paraId="00D684EB"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B) Em caso de Escrituras Públicas, deverão constar nome e qualificação completa de procurador, se houver com menção à data, ao livro, à folha e à serventia em que tenha sido lavrado o instrumento público de procuração e, se houver de substabelecimento, assim como a data da certidão de seu inteiro teor, quando não se tratar do traslado;</w:t>
      </w:r>
    </w:p>
    <w:p w14:paraId="55C4A1B1" w14:textId="2612E6A9"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Fundamentação: Art. </w:t>
      </w:r>
      <w:r w:rsidR="00D6503C">
        <w:rPr>
          <w:rFonts w:ascii="Times New Roman" w:hAnsi="Times New Roman" w:cs="Times New Roman"/>
          <w:sz w:val="24"/>
          <w:szCs w:val="24"/>
        </w:rPr>
        <w:t>183</w:t>
      </w:r>
      <w:r w:rsidRPr="00FD2457">
        <w:rPr>
          <w:rFonts w:ascii="Times New Roman" w:hAnsi="Times New Roman" w:cs="Times New Roman"/>
          <w:sz w:val="24"/>
          <w:szCs w:val="24"/>
        </w:rPr>
        <w:t xml:space="preserve">, IV, §6º e §7º, do Prov. </w:t>
      </w:r>
      <w:r w:rsidR="00D6503C">
        <w:rPr>
          <w:rFonts w:ascii="Times New Roman" w:hAnsi="Times New Roman" w:cs="Times New Roman"/>
          <w:sz w:val="24"/>
          <w:szCs w:val="24"/>
        </w:rPr>
        <w:t>93</w:t>
      </w:r>
      <w:r w:rsidRPr="00FD2457">
        <w:rPr>
          <w:rFonts w:ascii="Times New Roman" w:hAnsi="Times New Roman" w:cs="Times New Roman"/>
          <w:sz w:val="24"/>
          <w:szCs w:val="24"/>
        </w:rPr>
        <w:t>/20</w:t>
      </w:r>
      <w:r w:rsidR="00D6503C">
        <w:rPr>
          <w:rFonts w:ascii="Times New Roman" w:hAnsi="Times New Roman" w:cs="Times New Roman"/>
          <w:sz w:val="24"/>
          <w:szCs w:val="24"/>
        </w:rPr>
        <w:t>20</w:t>
      </w:r>
      <w:r w:rsidRPr="00FD2457">
        <w:rPr>
          <w:rFonts w:ascii="Times New Roman" w:hAnsi="Times New Roman" w:cs="Times New Roman"/>
          <w:sz w:val="24"/>
          <w:szCs w:val="24"/>
        </w:rPr>
        <w:t xml:space="preserve">. </w:t>
      </w:r>
    </w:p>
    <w:p w14:paraId="74E4BCF5" w14:textId="77777777" w:rsidR="00223603" w:rsidRDefault="00FD2457" w:rsidP="00DD6424">
      <w:pPr>
        <w:ind w:left="284"/>
        <w:jc w:val="both"/>
        <w:rPr>
          <w:rFonts w:ascii="Times New Roman" w:hAnsi="Times New Roman" w:cs="Times New Roman"/>
          <w:sz w:val="24"/>
          <w:szCs w:val="24"/>
        </w:rPr>
      </w:pPr>
      <w:r w:rsidRPr="00FD2457">
        <w:rPr>
          <w:rFonts w:ascii="Times New Roman" w:hAnsi="Times New Roman" w:cs="Times New Roman"/>
          <w:sz w:val="24"/>
          <w:szCs w:val="24"/>
        </w:rPr>
        <w:sym w:font="Symbol" w:char="F0B7"/>
      </w:r>
      <w:r w:rsidRPr="00FD2457">
        <w:rPr>
          <w:rFonts w:ascii="Times New Roman" w:hAnsi="Times New Roman" w:cs="Times New Roman"/>
          <w:sz w:val="24"/>
          <w:szCs w:val="24"/>
        </w:rPr>
        <w:t xml:space="preserve"> </w:t>
      </w:r>
      <w:r w:rsidRPr="00DD6424">
        <w:rPr>
          <w:rFonts w:ascii="Times New Roman" w:hAnsi="Times New Roman" w:cs="Times New Roman"/>
          <w:b/>
          <w:bCs/>
          <w:sz w:val="24"/>
          <w:szCs w:val="24"/>
        </w:rPr>
        <w:t>Declaração de Primeira Aquisição Imobiliária</w:t>
      </w:r>
      <w:r w:rsidRPr="00FD2457">
        <w:rPr>
          <w:rFonts w:ascii="Times New Roman" w:hAnsi="Times New Roman" w:cs="Times New Roman"/>
          <w:sz w:val="24"/>
          <w:szCs w:val="24"/>
        </w:rPr>
        <w:t xml:space="preserve"> </w:t>
      </w:r>
    </w:p>
    <w:p w14:paraId="483BD3CB"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DESCONTO EM DECORRÊNCIA DA PRIMEIRA AQUISIÇÃO IMOBILIÁRIA. </w:t>
      </w:r>
    </w:p>
    <w:p w14:paraId="2C23B2BE" w14:textId="31E23E4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O Programa Minha Casa Minha Vida</w:t>
      </w:r>
      <w:r w:rsidR="003A44BD">
        <w:rPr>
          <w:rFonts w:ascii="Times New Roman" w:hAnsi="Times New Roman" w:cs="Times New Roman"/>
          <w:sz w:val="24"/>
          <w:szCs w:val="24"/>
        </w:rPr>
        <w:t>, o Casa Verde e Amarela</w:t>
      </w:r>
      <w:r w:rsidRPr="00FD2457">
        <w:rPr>
          <w:rFonts w:ascii="Times New Roman" w:hAnsi="Times New Roman" w:cs="Times New Roman"/>
          <w:sz w:val="24"/>
          <w:szCs w:val="24"/>
        </w:rPr>
        <w:t xml:space="preserve"> e o Sistema Financeiro da Habitação, têm como objetivo o estímulo à construção de habitações de interesse social e o financiamento da aquisição e registro da casa própria, especialmente pelas classes da população de menor renda. </w:t>
      </w:r>
    </w:p>
    <w:p w14:paraId="4F7BFBB0" w14:textId="77777777" w:rsidR="003A44BD"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No caso do Programa Minha Casa Minha Vida – PMCMV, somente terão direito ao desconto de 50% nos emolumentos e taxas o adquirente de primeiro imóvel, observado os limitadores estabelecidos nas leis 11.977/2009 e 15.424/2004 quanto à renda familiar, ao valor do imóvel financiando e a primeira aquisição imobiliária residencial.</w:t>
      </w:r>
    </w:p>
    <w:p w14:paraId="7F5CA844" w14:textId="2080CEFB" w:rsidR="003A44BD" w:rsidRDefault="003A44BD" w:rsidP="003A44BD">
      <w:pPr>
        <w:jc w:val="both"/>
        <w:rPr>
          <w:rFonts w:ascii="Times New Roman" w:hAnsi="Times New Roman" w:cs="Times New Roman"/>
          <w:sz w:val="24"/>
          <w:szCs w:val="24"/>
        </w:rPr>
      </w:pPr>
      <w:r w:rsidRPr="00642D75">
        <w:rPr>
          <w:rFonts w:ascii="Times New Roman" w:hAnsi="Times New Roman" w:cs="Times New Roman"/>
          <w:sz w:val="24"/>
          <w:szCs w:val="24"/>
        </w:rPr>
        <w:t>No caso do Programa Casa Verde e Amarela – PCVA, somente terão direito ao desconto de 50% nos emolumentos e taxas o adquirente de primeiro imóvel, observado os limitadores esta</w:t>
      </w:r>
      <w:r w:rsidR="00642D75" w:rsidRPr="00642D75">
        <w:rPr>
          <w:rFonts w:ascii="Times New Roman" w:hAnsi="Times New Roman" w:cs="Times New Roman"/>
          <w:sz w:val="24"/>
          <w:szCs w:val="24"/>
        </w:rPr>
        <w:t>belecidos nas leis 11.977/2009,</w:t>
      </w:r>
      <w:r w:rsidRPr="00642D75">
        <w:rPr>
          <w:rFonts w:ascii="Times New Roman" w:hAnsi="Times New Roman" w:cs="Times New Roman"/>
          <w:sz w:val="24"/>
          <w:szCs w:val="24"/>
        </w:rPr>
        <w:t xml:space="preserve"> 15.424/2004</w:t>
      </w:r>
      <w:r w:rsidR="00642D75" w:rsidRPr="00642D75">
        <w:rPr>
          <w:rFonts w:ascii="Times New Roman" w:hAnsi="Times New Roman" w:cs="Times New Roman"/>
          <w:sz w:val="24"/>
          <w:szCs w:val="24"/>
        </w:rPr>
        <w:t xml:space="preserve"> e 14.118/2021 (especialmente o que consta nos artigos 11 e 12),</w:t>
      </w:r>
      <w:r w:rsidRPr="00642D75">
        <w:rPr>
          <w:rFonts w:ascii="Times New Roman" w:hAnsi="Times New Roman" w:cs="Times New Roman"/>
          <w:sz w:val="24"/>
          <w:szCs w:val="24"/>
        </w:rPr>
        <w:t xml:space="preserve"> quanto à renda familiar, ao valor do imóv</w:t>
      </w:r>
      <w:r w:rsidR="00642D75" w:rsidRPr="00642D75">
        <w:rPr>
          <w:rFonts w:ascii="Times New Roman" w:hAnsi="Times New Roman" w:cs="Times New Roman"/>
          <w:sz w:val="24"/>
          <w:szCs w:val="24"/>
        </w:rPr>
        <w:t xml:space="preserve">el financiando, </w:t>
      </w:r>
      <w:r w:rsidRPr="00642D75">
        <w:rPr>
          <w:rFonts w:ascii="Times New Roman" w:hAnsi="Times New Roman" w:cs="Times New Roman"/>
          <w:sz w:val="24"/>
          <w:szCs w:val="24"/>
        </w:rPr>
        <w:t>a primeira aquisição imobiliária residencial</w:t>
      </w:r>
      <w:r w:rsidR="00642D75" w:rsidRPr="00642D75">
        <w:rPr>
          <w:rFonts w:ascii="Times New Roman" w:hAnsi="Times New Roman" w:cs="Times New Roman"/>
          <w:sz w:val="24"/>
          <w:szCs w:val="24"/>
        </w:rPr>
        <w:t>, dentre outros</w:t>
      </w:r>
      <w:r w:rsidRPr="00642D75">
        <w:rPr>
          <w:rFonts w:ascii="Times New Roman" w:hAnsi="Times New Roman" w:cs="Times New Roman"/>
          <w:sz w:val="24"/>
          <w:szCs w:val="24"/>
        </w:rPr>
        <w:t>.</w:t>
      </w:r>
    </w:p>
    <w:p w14:paraId="6B1B43F9"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No caso do Sistema Financeiro da Habitação – SFH, somente será concedido o benefício ao adquirente que preencha cumulativamente os 4 (quatro) requisitos exigidos pelo art. 290 da Lei nº 6.015/1973, quais sejam: 1) primeira aquisição imobiliária, 2) para fins residenciais, 3) financiada e 4) pelo Sistema Financeiro da Habitação. </w:t>
      </w:r>
    </w:p>
    <w:p w14:paraId="2826676C"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Nesses casos, os adquirentes devem apresentar declaração de primeira aquisição imobiliária, com firmas reconhecidas ou virem assinar nesta Serventia. </w:t>
      </w:r>
    </w:p>
    <w:p w14:paraId="7A4C8F4A" w14:textId="0F24B28D" w:rsidR="00223603" w:rsidRDefault="00FD2457" w:rsidP="00FD2457">
      <w:pPr>
        <w:jc w:val="both"/>
        <w:rPr>
          <w:rFonts w:ascii="Times New Roman" w:hAnsi="Times New Roman" w:cs="Times New Roman"/>
          <w:sz w:val="24"/>
          <w:szCs w:val="24"/>
        </w:rPr>
      </w:pPr>
      <w:r w:rsidRPr="00DD6424">
        <w:rPr>
          <w:rFonts w:ascii="Times New Roman" w:hAnsi="Times New Roman" w:cs="Times New Roman"/>
          <w:b/>
          <w:bCs/>
          <w:sz w:val="24"/>
          <w:szCs w:val="24"/>
        </w:rPr>
        <w:t>OBS:</w:t>
      </w:r>
      <w:r w:rsidRPr="00FD2457">
        <w:rPr>
          <w:rFonts w:ascii="Times New Roman" w:hAnsi="Times New Roman" w:cs="Times New Roman"/>
          <w:sz w:val="24"/>
          <w:szCs w:val="24"/>
        </w:rPr>
        <w:t xml:space="preserve"> Para aqueles que já possuíram ou possuem imóveis deverá ser apresentada Declaração de "Aquisição Imobiliária”. </w:t>
      </w:r>
    </w:p>
    <w:p w14:paraId="43DE14AC" w14:textId="5A58CB64"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Os reque</w:t>
      </w:r>
      <w:r w:rsidR="00642D75">
        <w:rPr>
          <w:rFonts w:ascii="Times New Roman" w:hAnsi="Times New Roman" w:cs="Times New Roman"/>
          <w:sz w:val="24"/>
          <w:szCs w:val="24"/>
        </w:rPr>
        <w:t xml:space="preserve">rimentos podem ser retirados no site: </w:t>
      </w:r>
      <w:r w:rsidR="00642D75" w:rsidRPr="00642D75">
        <w:rPr>
          <w:rFonts w:ascii="Times New Roman" w:hAnsi="Times New Roman" w:cs="Times New Roman"/>
          <w:sz w:val="24"/>
          <w:szCs w:val="24"/>
        </w:rPr>
        <w:t>https://2rimc.com.br/downloads/</w:t>
      </w:r>
      <w:r w:rsidRPr="00FD2457">
        <w:rPr>
          <w:rFonts w:ascii="Times New Roman" w:hAnsi="Times New Roman" w:cs="Times New Roman"/>
          <w:sz w:val="24"/>
          <w:szCs w:val="24"/>
        </w:rPr>
        <w:t xml:space="preserve"> </w:t>
      </w:r>
    </w:p>
    <w:p w14:paraId="5D313F43" w14:textId="236514AC" w:rsidR="00223603" w:rsidRDefault="00FD2457" w:rsidP="00FD2457">
      <w:pPr>
        <w:jc w:val="both"/>
        <w:rPr>
          <w:rFonts w:ascii="Times New Roman" w:hAnsi="Times New Roman" w:cs="Times New Roman"/>
          <w:sz w:val="24"/>
          <w:szCs w:val="24"/>
        </w:rPr>
      </w:pPr>
      <w:r w:rsidRPr="00642D75">
        <w:rPr>
          <w:rFonts w:ascii="Times New Roman" w:hAnsi="Times New Roman" w:cs="Times New Roman"/>
          <w:b/>
          <w:sz w:val="24"/>
          <w:szCs w:val="24"/>
        </w:rPr>
        <w:t>Fundamentação:</w:t>
      </w:r>
      <w:r w:rsidRPr="00FD2457">
        <w:rPr>
          <w:rFonts w:ascii="Times New Roman" w:hAnsi="Times New Roman" w:cs="Times New Roman"/>
          <w:sz w:val="24"/>
          <w:szCs w:val="24"/>
        </w:rPr>
        <w:t xml:space="preserve"> Artigos 1º, 3º e 43 da Lei 11.977/2009. Art. 15-B da Lei Estadual 15.424/04 e alterações posteriores. Art. 1º, 8º e 9º da lei 4.380/64. Art. </w:t>
      </w:r>
      <w:r w:rsidR="00D6503C">
        <w:rPr>
          <w:rFonts w:ascii="Times New Roman" w:hAnsi="Times New Roman" w:cs="Times New Roman"/>
          <w:sz w:val="24"/>
          <w:szCs w:val="24"/>
        </w:rPr>
        <w:t>887</w:t>
      </w:r>
      <w:r w:rsidRPr="00FD2457">
        <w:rPr>
          <w:rFonts w:ascii="Times New Roman" w:hAnsi="Times New Roman" w:cs="Times New Roman"/>
          <w:sz w:val="24"/>
          <w:szCs w:val="24"/>
        </w:rPr>
        <w:t xml:space="preserve">, do Provimento </w:t>
      </w:r>
      <w:r w:rsidR="00D6503C">
        <w:rPr>
          <w:rFonts w:ascii="Times New Roman" w:hAnsi="Times New Roman" w:cs="Times New Roman"/>
          <w:sz w:val="24"/>
          <w:szCs w:val="24"/>
        </w:rPr>
        <w:t>93</w:t>
      </w:r>
      <w:r w:rsidRPr="00FD2457">
        <w:rPr>
          <w:rFonts w:ascii="Times New Roman" w:hAnsi="Times New Roman" w:cs="Times New Roman"/>
          <w:sz w:val="24"/>
          <w:szCs w:val="24"/>
        </w:rPr>
        <w:t>/20</w:t>
      </w:r>
      <w:r w:rsidR="00D6503C">
        <w:rPr>
          <w:rFonts w:ascii="Times New Roman" w:hAnsi="Times New Roman" w:cs="Times New Roman"/>
          <w:sz w:val="24"/>
          <w:szCs w:val="24"/>
        </w:rPr>
        <w:t>20</w:t>
      </w:r>
      <w:r w:rsidRPr="00FD2457">
        <w:rPr>
          <w:rFonts w:ascii="Times New Roman" w:hAnsi="Times New Roman" w:cs="Times New Roman"/>
          <w:sz w:val="24"/>
          <w:szCs w:val="24"/>
        </w:rPr>
        <w:t xml:space="preserve"> – CGJ/MG. Artigo 290 da Lei 6.015/73</w:t>
      </w:r>
      <w:r w:rsidR="00642D75">
        <w:rPr>
          <w:rFonts w:ascii="Times New Roman" w:hAnsi="Times New Roman" w:cs="Times New Roman"/>
          <w:sz w:val="24"/>
          <w:szCs w:val="24"/>
        </w:rPr>
        <w:t>. Artigos 10, 11 e 12, da Lei 14.118/2021.</w:t>
      </w:r>
      <w:r w:rsidRPr="00FD2457">
        <w:rPr>
          <w:rFonts w:ascii="Times New Roman" w:hAnsi="Times New Roman" w:cs="Times New Roman"/>
          <w:sz w:val="24"/>
          <w:szCs w:val="24"/>
        </w:rPr>
        <w:t xml:space="preserve"> </w:t>
      </w:r>
    </w:p>
    <w:p w14:paraId="300A6063" w14:textId="77777777" w:rsidR="00DD6424" w:rsidRPr="00DD6424" w:rsidRDefault="00FD2457" w:rsidP="00DD6424">
      <w:pPr>
        <w:ind w:left="426"/>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Identificação do Imóvel </w:t>
      </w:r>
    </w:p>
    <w:p w14:paraId="652FAA6B" w14:textId="1FE91BA5"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Descrição do Imóvel com referência à Matrícula e serventia nos termos do art. </w:t>
      </w:r>
      <w:r w:rsidR="00F53259">
        <w:rPr>
          <w:rFonts w:ascii="Times New Roman" w:hAnsi="Times New Roman" w:cs="Times New Roman"/>
          <w:sz w:val="24"/>
          <w:szCs w:val="24"/>
        </w:rPr>
        <w:t>185</w:t>
      </w:r>
      <w:r w:rsidRPr="00FD2457">
        <w:rPr>
          <w:rFonts w:ascii="Times New Roman" w:hAnsi="Times New Roman" w:cs="Times New Roman"/>
          <w:sz w:val="24"/>
          <w:szCs w:val="24"/>
        </w:rPr>
        <w:t>, incisos e 1</w:t>
      </w:r>
      <w:r w:rsidR="00F53259">
        <w:rPr>
          <w:rFonts w:ascii="Times New Roman" w:hAnsi="Times New Roman" w:cs="Times New Roman"/>
          <w:sz w:val="24"/>
          <w:szCs w:val="24"/>
        </w:rPr>
        <w:t>86</w:t>
      </w:r>
      <w:r w:rsidRPr="00FD2457">
        <w:rPr>
          <w:rFonts w:ascii="Times New Roman" w:hAnsi="Times New Roman" w:cs="Times New Roman"/>
          <w:sz w:val="24"/>
          <w:szCs w:val="24"/>
        </w:rPr>
        <w:t xml:space="preserve"> do Provimento nº. </w:t>
      </w:r>
      <w:r w:rsidR="00F53259">
        <w:rPr>
          <w:rFonts w:ascii="Times New Roman" w:hAnsi="Times New Roman" w:cs="Times New Roman"/>
          <w:sz w:val="24"/>
          <w:szCs w:val="24"/>
        </w:rPr>
        <w:t>93</w:t>
      </w:r>
      <w:r w:rsidRPr="00FD2457">
        <w:rPr>
          <w:rFonts w:ascii="Times New Roman" w:hAnsi="Times New Roman" w:cs="Times New Roman"/>
          <w:sz w:val="24"/>
          <w:szCs w:val="24"/>
        </w:rPr>
        <w:t>/CGJMG/20</w:t>
      </w:r>
      <w:r w:rsidR="00F53259">
        <w:rPr>
          <w:rFonts w:ascii="Times New Roman" w:hAnsi="Times New Roman" w:cs="Times New Roman"/>
          <w:sz w:val="24"/>
          <w:szCs w:val="24"/>
        </w:rPr>
        <w:t>20</w:t>
      </w:r>
      <w:r w:rsidRPr="00FD2457">
        <w:rPr>
          <w:rFonts w:ascii="Times New Roman" w:hAnsi="Times New Roman" w:cs="Times New Roman"/>
          <w:sz w:val="24"/>
          <w:szCs w:val="24"/>
        </w:rPr>
        <w:t xml:space="preserve">. </w:t>
      </w:r>
    </w:p>
    <w:p w14:paraId="48917456" w14:textId="77777777" w:rsidR="00DD6424" w:rsidRPr="00DD6424" w:rsidRDefault="00FD2457" w:rsidP="00DD6424">
      <w:pPr>
        <w:ind w:left="284"/>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Qualificação das Partes </w:t>
      </w:r>
    </w:p>
    <w:p w14:paraId="390C35AD" w14:textId="1FFD040F"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São requisitos da Escritura Pública/Instrumentos Particulares a perfeita identificação e qualificação das pessoas nomeadas na matrícula e nos títulos levados a registro (vendedor, comprador, credor), dessa forma é necessário constar no título: </w:t>
      </w:r>
    </w:p>
    <w:p w14:paraId="102A15B4"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Se Pessoa Física: </w:t>
      </w:r>
    </w:p>
    <w:p w14:paraId="48AE1AB3"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Nome e qualificação completa de participante que seja pessoa natural, indicando nacionalidade, estado civil, profissão, endereço e lugar de domicílio, menção ao número do CPF e de documento de identidade, ainda com a indicação, se casado, da data e da serventia, livro, folha e termo do casamento, do regime de bens adotado, menção expressa à serventia, livro e folha onde foi lavrado o pacto antenupcial, se houver, e ao nome do cônjuge, com sua qualificação completa; </w:t>
      </w:r>
    </w:p>
    <w:p w14:paraId="4BF313C3"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 xml:space="preserve">Se Pessoa Jurídica: Nome, endereço e lugar da sede, número do CNPJ, menção ao registro mercantil (NIRE) ou civil das pessoas jurídicas e indicação da representação de participante que seja pessoa jurídica, ainda com os dados constantes no inciso II, no que couber, em relação à pessoa natural representante; </w:t>
      </w:r>
    </w:p>
    <w:p w14:paraId="7BA9E29C" w14:textId="77777777" w:rsidR="00223603" w:rsidRDefault="00FD2457" w:rsidP="00FD2457">
      <w:pPr>
        <w:jc w:val="both"/>
        <w:rPr>
          <w:rFonts w:ascii="Times New Roman" w:hAnsi="Times New Roman" w:cs="Times New Roman"/>
          <w:sz w:val="24"/>
          <w:szCs w:val="24"/>
        </w:rPr>
      </w:pPr>
      <w:r w:rsidRPr="00FD2457">
        <w:rPr>
          <w:rFonts w:ascii="Times New Roman" w:hAnsi="Times New Roman" w:cs="Times New Roman"/>
          <w:sz w:val="24"/>
          <w:szCs w:val="24"/>
        </w:rPr>
        <w:t>Testemunhas: Constar o nome completo de forma legível, assinatura e número do CPF.</w:t>
      </w:r>
    </w:p>
    <w:p w14:paraId="00C1EB0A" w14:textId="77D6DBDA" w:rsidR="00223603" w:rsidRPr="00223603" w:rsidRDefault="00FD2457" w:rsidP="00FD2457">
      <w:pPr>
        <w:jc w:val="both"/>
        <w:rPr>
          <w:rFonts w:ascii="Times New Roman" w:hAnsi="Times New Roman" w:cs="Times New Roman"/>
          <w:sz w:val="24"/>
          <w:szCs w:val="24"/>
        </w:rPr>
      </w:pPr>
      <w:r w:rsidRPr="00642D75">
        <w:rPr>
          <w:rFonts w:ascii="Times New Roman" w:hAnsi="Times New Roman" w:cs="Times New Roman"/>
          <w:b/>
          <w:sz w:val="24"/>
          <w:szCs w:val="24"/>
        </w:rPr>
        <w:t>Fundamentação:</w:t>
      </w:r>
      <w:r w:rsidRPr="00223603">
        <w:rPr>
          <w:rFonts w:ascii="Times New Roman" w:hAnsi="Times New Roman" w:cs="Times New Roman"/>
          <w:sz w:val="24"/>
          <w:szCs w:val="24"/>
        </w:rPr>
        <w:t xml:space="preserve"> Artigo </w:t>
      </w:r>
      <w:r w:rsidR="00F53259">
        <w:rPr>
          <w:rFonts w:ascii="Times New Roman" w:hAnsi="Times New Roman" w:cs="Times New Roman"/>
          <w:sz w:val="24"/>
          <w:szCs w:val="24"/>
        </w:rPr>
        <w:t>183</w:t>
      </w:r>
      <w:r w:rsidRPr="00223603">
        <w:rPr>
          <w:rFonts w:ascii="Times New Roman" w:hAnsi="Times New Roman" w:cs="Times New Roman"/>
          <w:sz w:val="24"/>
          <w:szCs w:val="24"/>
        </w:rPr>
        <w:t xml:space="preserve">, </w:t>
      </w:r>
      <w:r w:rsidR="00F53259">
        <w:rPr>
          <w:rFonts w:ascii="Times New Roman" w:hAnsi="Times New Roman" w:cs="Times New Roman"/>
          <w:sz w:val="24"/>
          <w:szCs w:val="24"/>
        </w:rPr>
        <w:t>715</w:t>
      </w:r>
      <w:r w:rsidRPr="00223603">
        <w:rPr>
          <w:rFonts w:ascii="Times New Roman" w:hAnsi="Times New Roman" w:cs="Times New Roman"/>
          <w:sz w:val="24"/>
          <w:szCs w:val="24"/>
        </w:rPr>
        <w:t xml:space="preserve">, e </w:t>
      </w:r>
      <w:r w:rsidR="00F53259">
        <w:rPr>
          <w:rFonts w:ascii="Times New Roman" w:hAnsi="Times New Roman" w:cs="Times New Roman"/>
          <w:sz w:val="24"/>
          <w:szCs w:val="24"/>
        </w:rPr>
        <w:t>878</w:t>
      </w:r>
      <w:r w:rsidRPr="00223603">
        <w:rPr>
          <w:rFonts w:ascii="Times New Roman" w:hAnsi="Times New Roman" w:cs="Times New Roman"/>
          <w:sz w:val="24"/>
          <w:szCs w:val="24"/>
        </w:rPr>
        <w:t xml:space="preserve"> do Prov. </w:t>
      </w:r>
      <w:r w:rsidR="00F53259">
        <w:rPr>
          <w:rFonts w:ascii="Times New Roman" w:hAnsi="Times New Roman" w:cs="Times New Roman"/>
          <w:sz w:val="24"/>
          <w:szCs w:val="24"/>
        </w:rPr>
        <w:t>93</w:t>
      </w:r>
      <w:r w:rsidRPr="00223603">
        <w:rPr>
          <w:rFonts w:ascii="Times New Roman" w:hAnsi="Times New Roman" w:cs="Times New Roman"/>
          <w:sz w:val="24"/>
          <w:szCs w:val="24"/>
        </w:rPr>
        <w:t>/20</w:t>
      </w:r>
      <w:r w:rsidR="00F53259">
        <w:rPr>
          <w:rFonts w:ascii="Times New Roman" w:hAnsi="Times New Roman" w:cs="Times New Roman"/>
          <w:sz w:val="24"/>
          <w:szCs w:val="24"/>
        </w:rPr>
        <w:t>20</w:t>
      </w:r>
      <w:r w:rsidRPr="00223603">
        <w:rPr>
          <w:rFonts w:ascii="Times New Roman" w:hAnsi="Times New Roman" w:cs="Times New Roman"/>
          <w:sz w:val="24"/>
          <w:szCs w:val="24"/>
        </w:rPr>
        <w:t xml:space="preserve">. Artigo 215 do Código Civil de 2002. </w:t>
      </w:r>
    </w:p>
    <w:p w14:paraId="21587BAF" w14:textId="77777777" w:rsidR="00223603" w:rsidRPr="00DD6424" w:rsidRDefault="00FD2457" w:rsidP="00DD6424">
      <w:pPr>
        <w:ind w:left="567"/>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Regime de Bens, pacto, união estável e outros. </w:t>
      </w:r>
    </w:p>
    <w:p w14:paraId="7B0329B3" w14:textId="77777777" w:rsidR="00223603" w:rsidRPr="00DD6424" w:rsidRDefault="00FD2457" w:rsidP="00DD6424">
      <w:pPr>
        <w:ind w:left="567"/>
        <w:jc w:val="both"/>
        <w:rPr>
          <w:rFonts w:ascii="Times New Roman" w:hAnsi="Times New Roman" w:cs="Times New Roman"/>
          <w:b/>
          <w:bCs/>
          <w:sz w:val="24"/>
          <w:szCs w:val="24"/>
        </w:rPr>
      </w:pPr>
      <w:r w:rsidRPr="00DD6424">
        <w:rPr>
          <w:rFonts w:ascii="Times New Roman" w:hAnsi="Times New Roman" w:cs="Times New Roman"/>
          <w:b/>
          <w:bCs/>
          <w:sz w:val="24"/>
          <w:szCs w:val="24"/>
        </w:rPr>
        <w:t xml:space="preserve">Casamento/União Estável: </w:t>
      </w:r>
    </w:p>
    <w:p w14:paraId="62DEE9C5" w14:textId="77777777" w:rsidR="00223603" w:rsidRDefault="00FD2457" w:rsidP="00FD2457">
      <w:pPr>
        <w:jc w:val="both"/>
        <w:rPr>
          <w:rFonts w:ascii="Times New Roman" w:hAnsi="Times New Roman" w:cs="Times New Roman"/>
          <w:sz w:val="24"/>
          <w:szCs w:val="24"/>
        </w:rPr>
      </w:pPr>
      <w:r w:rsidRPr="00223603">
        <w:rPr>
          <w:rFonts w:ascii="Times New Roman" w:hAnsi="Times New Roman" w:cs="Times New Roman"/>
          <w:sz w:val="24"/>
          <w:szCs w:val="24"/>
        </w:rPr>
        <w:t>São requisitos da Escritura Pública/Instrumentos Particulares a perfeita identificação e qualificação das pessoas nomeadas na matrícula e nos títulos levados a registro, dessa forma é necessário constar no título quando casados, a data do casamento e respectivo livro, folha e termo, regime de bens adotado, menção expressa à serventia, livro, folha</w:t>
      </w:r>
      <w:r w:rsidR="00223603" w:rsidRPr="00223603">
        <w:rPr>
          <w:rFonts w:ascii="Times New Roman" w:hAnsi="Times New Roman" w:cs="Times New Roman"/>
          <w:sz w:val="24"/>
          <w:szCs w:val="24"/>
        </w:rPr>
        <w:t xml:space="preserve"> onde foi lavrado o pacto antenupcial, se houver, e ao nome do cônjuge com qualificação completa; data da separação ou do divórcio, se for o caso. </w:t>
      </w:r>
    </w:p>
    <w:p w14:paraId="4EB5EF2B"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Quanto ao Regime de Bens adotado no casamento deverá ser observado a necessidade de apresentação ou não do Pacto Antenupcial. </w:t>
      </w:r>
    </w:p>
    <w:p w14:paraId="3C4F54E5"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Casamento realizado pouco tempo depois do dia 27/12/1977, data da vigência da Lei 6.515/1977, que modificou o CC/16. </w:t>
      </w:r>
    </w:p>
    <w:p w14:paraId="125E3D67"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Isso porque o procedimento para o casamento (proclamas + habilitação) pode ter ocorrido antes da vigência da Lei 6.515/77, em que o regime de bens legal era o da comunhão universal de bens, sem pacto antenupcial, e ter casado depois da vigência da referida lei.</w:t>
      </w:r>
    </w:p>
    <w:p w14:paraId="7601909F"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Devendo na Certidão de Casamento constar que o regime de bens adotado foi o escolhido antes da vigência da Lei 6.515/77, no momento do procedimento de habilitação em casamento. </w:t>
      </w:r>
    </w:p>
    <w:p w14:paraId="2C54D927"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É necessário o Registro do Pacto Antenupcial para os casados sob o: </w:t>
      </w:r>
    </w:p>
    <w:p w14:paraId="0F599D72"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a) regime da comunhão parcial de bens até 26/12/1977; </w:t>
      </w:r>
    </w:p>
    <w:p w14:paraId="3DA1DF36"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b) comunhão universal de bens a partir de 27/12/1977; </w:t>
      </w:r>
    </w:p>
    <w:p w14:paraId="5371C73A"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c) separação de bens (convencional); </w:t>
      </w:r>
    </w:p>
    <w:p w14:paraId="24AA7BB2"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d) participação final nos aquestos. </w:t>
      </w:r>
    </w:p>
    <w:p w14:paraId="3C9FE5DF"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Este registro deverá ser indicado, através de averbação, nas matrículas dos imóveis pertencentes ao casal e nos que vierem a existir. </w:t>
      </w:r>
    </w:p>
    <w:p w14:paraId="58570D63"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OBSERVAÇÃO: se o pacto antenupcial ainda não tiver sido registrado e o casal tiver tido o 1º domicílio conjugal ou atualmente tiver domicílio na circunscrição desta Serventia, apresentar: 1) Escritura pública de pacto antenupcial; 2) Certidão de casamento expedida há até 90 dias; 3) Declaração assinada por pelo menos um dos cônjuges, com firma reconhecida, indicando o seu 1º ou atual domicílio conjugal. </w:t>
      </w:r>
    </w:p>
    <w:p w14:paraId="5E4F5306" w14:textId="1EA96429" w:rsidR="00FD2457"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Não havendo Pacto Antenupcial, ou sendo ele nulo ou ineficaz, vigorará, quanto aos bens entre os cônjuges, o regime da comunhão parcial de bens a partir de 27/12/1977, ou, o regime da comunhão universal de bens até 26/12/1977.</w:t>
      </w:r>
    </w:p>
    <w:p w14:paraId="58A39D08"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Nos casamentos realizados na vigência do CC/16 quanto ao regime de bens denominado regime da comunhão universal, em que no registro constou “comunhão de bens”, a Certidão do Registro Civil de Pessoas Naturais deverá vir constando no campo das “observações” da Certidão de Casamento que o regime descrito como “comunhão de bens” refere-se ao “regime da comunhão universal”. </w:t>
      </w:r>
    </w:p>
    <w:p w14:paraId="0F4DA551" w14:textId="77777777" w:rsidR="00223603"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Alteração do regime de bens somente através de autorização judicial. </w:t>
      </w:r>
    </w:p>
    <w:p w14:paraId="75C81964"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Casamento / Nascimento / Óbito realizado em outro país: Para que a documentação seja eficaz para gerar efeitos jurídicos no Brasil, a mesma deverá ser averbada no Registro Civil de Pessoas Naturais no Brasil e, em regra, registrada no Cartório de Títulos e Documentos no Brasil. </w:t>
      </w:r>
    </w:p>
    <w:p w14:paraId="75BA91F1" w14:textId="77777777" w:rsidR="00CE7F28" w:rsidRPr="004A78FC" w:rsidRDefault="00223603" w:rsidP="00FD2457">
      <w:pPr>
        <w:jc w:val="both"/>
        <w:rPr>
          <w:rFonts w:ascii="Times New Roman" w:hAnsi="Times New Roman" w:cs="Times New Roman"/>
          <w:sz w:val="24"/>
          <w:szCs w:val="24"/>
          <w:lang w:val="en-US"/>
        </w:rPr>
      </w:pPr>
      <w:r w:rsidRPr="004A78FC">
        <w:rPr>
          <w:rFonts w:ascii="Times New Roman" w:hAnsi="Times New Roman" w:cs="Times New Roman"/>
          <w:sz w:val="24"/>
          <w:szCs w:val="24"/>
          <w:lang w:val="en-US"/>
        </w:rPr>
        <w:t xml:space="preserve">Fundamentação: 6.015/73 art. 129, 6º + CNCGJ art. 542, art. 555, art. 559. </w:t>
      </w:r>
    </w:p>
    <w:p w14:paraId="223CBB69"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a) - sentenças de alteração do estado civil de casal estrangeiro cujo casamento tenha sido contraído no exterior; </w:t>
      </w:r>
    </w:p>
    <w:p w14:paraId="6D17C43F"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b) - traslado de certidões de registro civil das pessoas naturais emitidas no exterior (nascimento, casamento e óbito de brasileiros em outro país – Res. 155/CNJ/2012); </w:t>
      </w:r>
    </w:p>
    <w:p w14:paraId="33213A25"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c) - registro de nascimento de nascidos no Brasil filhos de pais estrangeiros a serviço de seu país; </w:t>
      </w:r>
    </w:p>
    <w:p w14:paraId="1DA182DC"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d) - opção pela nacionalidade brasileira. </w:t>
      </w:r>
    </w:p>
    <w:p w14:paraId="40BEAD26"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Quanto aos atos relativos ao casamento: </w:t>
      </w:r>
    </w:p>
    <w:p w14:paraId="60ECF45C"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Quando o casamento tiver ocorrido no exterior e for de brasileiro: deve haver registro no Livro “E” do Cartório de Registro Civil de Pessoas Naturais, devendo constar o regime de bens adotado no momento do casamento. Iremos observar a necessidade de apresentação de pacto antenupcial. </w:t>
      </w:r>
    </w:p>
    <w:p w14:paraId="4FD8FAC7" w14:textId="77777777" w:rsidR="00CE7F28" w:rsidRDefault="00223603" w:rsidP="00FD2457">
      <w:pPr>
        <w:jc w:val="both"/>
        <w:rPr>
          <w:rFonts w:ascii="Times New Roman" w:hAnsi="Times New Roman" w:cs="Times New Roman"/>
          <w:sz w:val="24"/>
          <w:szCs w:val="24"/>
        </w:rPr>
      </w:pPr>
      <w:r w:rsidRPr="00223603">
        <w:rPr>
          <w:rFonts w:ascii="Times New Roman" w:hAnsi="Times New Roman" w:cs="Times New Roman"/>
          <w:sz w:val="24"/>
          <w:szCs w:val="24"/>
        </w:rPr>
        <w:t xml:space="preserve">Quando o casamento tiver ocorrido no exterior e for somente de estrangeiros: Quanto aos bens adquiridos no Brasil, deve ser aplicada a norma do local em que esses se situam. Ou seja, embora os adquirentes sejam casados no exterior, sob as leis do país de celebração, adquirindo bens no território brasileiro, principalmente se for bem imóvel, deverão seguir </w:t>
      </w:r>
      <w:r w:rsidRPr="00CE7F28">
        <w:rPr>
          <w:rFonts w:ascii="Times New Roman" w:hAnsi="Times New Roman" w:cs="Times New Roman"/>
          <w:sz w:val="24"/>
          <w:szCs w:val="24"/>
        </w:rPr>
        <w:t>as regras brasileiras para a aquisição dos mesmos</w:t>
      </w:r>
      <w:r w:rsidR="00CE7F28">
        <w:rPr>
          <w:rFonts w:ascii="Times New Roman" w:hAnsi="Times New Roman" w:cs="Times New Roman"/>
          <w:sz w:val="24"/>
          <w:szCs w:val="24"/>
        </w:rPr>
        <w:t>.</w:t>
      </w:r>
    </w:p>
    <w:p w14:paraId="385EC0A2" w14:textId="77777777" w:rsidR="00CE7F28" w:rsidRDefault="00CE7F28" w:rsidP="00FD2457">
      <w:pPr>
        <w:jc w:val="both"/>
        <w:rPr>
          <w:rFonts w:ascii="Times New Roman" w:hAnsi="Times New Roman" w:cs="Times New Roman"/>
          <w:sz w:val="24"/>
          <w:szCs w:val="24"/>
        </w:rPr>
      </w:pPr>
      <w:r w:rsidRPr="00CE7F28">
        <w:rPr>
          <w:rFonts w:ascii="Times New Roman" w:hAnsi="Times New Roman" w:cs="Times New Roman"/>
          <w:sz w:val="24"/>
          <w:szCs w:val="24"/>
        </w:rPr>
        <w:t xml:space="preserve"> Mas caso o país de celebração não tenha previsão legal quanto ao regime de bens no casamento, essa informação poderá ser suprida das seguintes maneiras: </w:t>
      </w:r>
    </w:p>
    <w:p w14:paraId="71B68A64" w14:textId="02E8135F" w:rsidR="00CE7F28" w:rsidRPr="00CE7F28" w:rsidRDefault="00CE7F28" w:rsidP="00CE7F28">
      <w:pPr>
        <w:pStyle w:val="PargrafodaLista"/>
        <w:numPr>
          <w:ilvl w:val="0"/>
          <w:numId w:val="1"/>
        </w:numPr>
        <w:jc w:val="both"/>
        <w:rPr>
          <w:rFonts w:ascii="Times New Roman" w:hAnsi="Times New Roman" w:cs="Times New Roman"/>
          <w:sz w:val="24"/>
          <w:szCs w:val="24"/>
        </w:rPr>
      </w:pPr>
      <w:r w:rsidRPr="00CE7F28">
        <w:rPr>
          <w:rFonts w:ascii="Times New Roman" w:hAnsi="Times New Roman" w:cs="Times New Roman"/>
          <w:sz w:val="24"/>
          <w:szCs w:val="24"/>
        </w:rPr>
        <w:t xml:space="preserve">Deverá ser declarado pelo Consulado o regime de bens adotado no Brasil, mediante certidão consular na qual conste o regime de bens previsto pela lei do local da celebração ou, na falta deste, do regime de bens estabelecido pela legislação brasileira; </w:t>
      </w:r>
    </w:p>
    <w:p w14:paraId="6065E063" w14:textId="77777777" w:rsidR="00CE7F28" w:rsidRDefault="00CE7F28" w:rsidP="00CE7F28">
      <w:pPr>
        <w:ind w:left="360"/>
        <w:jc w:val="both"/>
        <w:rPr>
          <w:rFonts w:ascii="Times New Roman" w:hAnsi="Times New Roman" w:cs="Times New Roman"/>
          <w:sz w:val="24"/>
          <w:szCs w:val="24"/>
        </w:rPr>
      </w:pPr>
      <w:r w:rsidRPr="00CE7F28">
        <w:rPr>
          <w:rFonts w:ascii="Times New Roman" w:hAnsi="Times New Roman" w:cs="Times New Roman"/>
          <w:sz w:val="24"/>
          <w:szCs w:val="24"/>
        </w:rPr>
        <w:t xml:space="preserve">Ou </w:t>
      </w:r>
    </w:p>
    <w:p w14:paraId="18882CE1" w14:textId="3B2E6E7C" w:rsidR="00CE7F28" w:rsidRPr="00CE7F28" w:rsidRDefault="00CE7F28" w:rsidP="00CE7F28">
      <w:pPr>
        <w:pStyle w:val="PargrafodaLista"/>
        <w:numPr>
          <w:ilvl w:val="0"/>
          <w:numId w:val="1"/>
        </w:numPr>
        <w:jc w:val="both"/>
        <w:rPr>
          <w:rFonts w:ascii="Times New Roman" w:hAnsi="Times New Roman" w:cs="Times New Roman"/>
          <w:sz w:val="24"/>
          <w:szCs w:val="24"/>
        </w:rPr>
      </w:pPr>
      <w:r w:rsidRPr="00CE7F28">
        <w:rPr>
          <w:rFonts w:ascii="Times New Roman" w:hAnsi="Times New Roman" w:cs="Times New Roman"/>
          <w:sz w:val="24"/>
          <w:szCs w:val="24"/>
        </w:rPr>
        <w:t xml:space="preserve">Os contraentes deverão apresentar Escritura Declaratória, onde afirmam que no país de celebração do casamento não há previsão legal quanto a regime patrimonial no casamento. </w:t>
      </w:r>
    </w:p>
    <w:p w14:paraId="21EFA939"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Para produzir efeitos jurídicos em território Brasileiro, somente se admite os atos autênticos de países estrangeiros com força de instrumento público legalizados e traduzidos na forma da lei, e registrados no Ofício de Registro de Títulos e Documentos, logo, para fins de registro, deverão ser apresentadas: - Cópias autenticadas da Certidão de Casamento, com o regime de bens, se houver e Tradução da mesma, feita por Tradutor juramentado, devidamente registradas no Cartório de Registro de Títulos e Documentos.</w:t>
      </w:r>
    </w:p>
    <w:p w14:paraId="45436FFF"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 *A partir de 18.03.2016 independentemente de homologação pelo STJ, ressalvados os casos em que envolver guarda de filhos, alimentos e partilha de bens, que deverão ser homologados pelo STJ, poderá ser averbado no assento do registro civil de brasileiro. Resolução 53/CNJ/2016: Art. 961, §5º CPC/15 + art. 960 a art. 965 CPC/15 – interpretação sistemática + art. 32 e art. 100 da 6.015/73 + art. 10 CC. Art. 1º. </w:t>
      </w:r>
    </w:p>
    <w:p w14:paraId="0C365068"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Importante Consentimento ou Alvará Judicial: </w:t>
      </w:r>
    </w:p>
    <w:p w14:paraId="05611C3E" w14:textId="79851A90" w:rsidR="00CE7F28" w:rsidRPr="00CE7F28" w:rsidRDefault="00CE7F28" w:rsidP="00CE7F28">
      <w:pPr>
        <w:pStyle w:val="PargrafodaLista"/>
        <w:numPr>
          <w:ilvl w:val="0"/>
          <w:numId w:val="2"/>
        </w:numPr>
        <w:jc w:val="both"/>
        <w:rPr>
          <w:rFonts w:ascii="Times New Roman" w:hAnsi="Times New Roman" w:cs="Times New Roman"/>
          <w:sz w:val="24"/>
          <w:szCs w:val="24"/>
        </w:rPr>
      </w:pPr>
      <w:r w:rsidRPr="00CE7F28">
        <w:rPr>
          <w:rFonts w:ascii="Times New Roman" w:hAnsi="Times New Roman" w:cs="Times New Roman"/>
          <w:sz w:val="24"/>
          <w:szCs w:val="24"/>
        </w:rPr>
        <w:t xml:space="preserve">Pessoa casada só pode alienar com autorização do outro cônjuge. Exceto quando for o regime da separação absoluta de bens (convencional – com pacto antenupcial), desde que a aquisição tenha sido feita somente em nome do cônjuge vendedor. </w:t>
      </w:r>
    </w:p>
    <w:p w14:paraId="5D2D34E2"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É necessária a anuência: </w:t>
      </w:r>
    </w:p>
    <w:p w14:paraId="3F1E13BF"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1) No regime de comunhão de bens e no regime da comunhão parcial de bens; </w:t>
      </w:r>
    </w:p>
    <w:p w14:paraId="752D415E" w14:textId="766945E5" w:rsidR="00FD2457" w:rsidRPr="00CE7F28" w:rsidRDefault="00CE7F28" w:rsidP="00FD2457">
      <w:pPr>
        <w:jc w:val="both"/>
        <w:rPr>
          <w:rFonts w:ascii="Times New Roman" w:hAnsi="Times New Roman" w:cs="Times New Roman"/>
          <w:sz w:val="24"/>
          <w:szCs w:val="24"/>
        </w:rPr>
      </w:pPr>
      <w:r w:rsidRPr="00CE7F28">
        <w:rPr>
          <w:rFonts w:ascii="Times New Roman" w:hAnsi="Times New Roman" w:cs="Times New Roman"/>
          <w:sz w:val="24"/>
          <w:szCs w:val="24"/>
        </w:rPr>
        <w:t>2) No regime de separação obrigatória de bens, se o bem foi adquirido após o casamento (aquestos) – súmula 377 do STF.</w:t>
      </w:r>
    </w:p>
    <w:p w14:paraId="3998B3DD"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3) No regime da participação final dos aquestos, exceto se, no pacto antenupcial, foi pactuada a livre disposição de bens imóveis particulares (art. 1.656 do CC); </w:t>
      </w:r>
    </w:p>
    <w:p w14:paraId="50E511AF"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4) No regime da separação absoluta de bens (convencional – com pacto antenupcial), é desnecessária a anuência ou outorga do cônjuge, desde que a aquisição tenha sido feita somente em nome do cônjuge vendedor (art. 1647 do CC); </w:t>
      </w:r>
    </w:p>
    <w:p w14:paraId="14AA9E24"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5) Para a alienação de bem gravado com cláusula de inalienabilidade, é necessária a outorga do cônjuge;</w:t>
      </w:r>
    </w:p>
    <w:p w14:paraId="30BD2DB7"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6) Para pessoa estrangeira (ou casal estrangeiro), também é exigível a outorga do cônjuge, mesmo que em seu país de origem seja dispensada essa autorização, pois o art. 8º da LINDB dispõe que, para regular as relações dos bens, aplicasse a lei do país em que estiverem situados. </w:t>
      </w:r>
    </w:p>
    <w:p w14:paraId="74E87E12"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b) Alvará judicial na alienação ou aquisição: feita pelo Espólio, feita pela interdito, e na venda do ativo permanente do devedor em recuperação judicial ou extrajudicial. </w:t>
      </w:r>
    </w:p>
    <w:p w14:paraId="33EE58D0"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c) Fundação só pode vender com autorização judicial com participação do MP.</w:t>
      </w:r>
    </w:p>
    <w:p w14:paraId="2B16C48F" w14:textId="59C708F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Documentos necessários para Registro do pacto antenupcial em</w:t>
      </w:r>
      <w:r>
        <w:rPr>
          <w:rFonts w:ascii="Times New Roman" w:hAnsi="Times New Roman" w:cs="Times New Roman"/>
          <w:sz w:val="24"/>
          <w:szCs w:val="24"/>
        </w:rPr>
        <w:t xml:space="preserve"> </w:t>
      </w:r>
      <w:r w:rsidRPr="00CE7F28">
        <w:rPr>
          <w:rFonts w:ascii="Times New Roman" w:hAnsi="Times New Roman" w:cs="Times New Roman"/>
          <w:sz w:val="24"/>
          <w:szCs w:val="24"/>
        </w:rPr>
        <w:t>&gt;</w:t>
      </w:r>
      <w:hyperlink w:history="1">
        <w:r w:rsidRPr="002654DC">
          <w:rPr>
            <w:rStyle w:val="Hyperlink"/>
            <w:rFonts w:ascii="Times New Roman" w:hAnsi="Times New Roman" w:cs="Times New Roman"/>
            <w:sz w:val="24"/>
            <w:szCs w:val="24"/>
          </w:rPr>
          <w:t>www.2rimc.com.br&lt;</w:t>
        </w:r>
      </w:hyperlink>
      <w:r w:rsidRPr="00CE7F28">
        <w:rPr>
          <w:rFonts w:ascii="Times New Roman" w:hAnsi="Times New Roman" w:cs="Times New Roman"/>
          <w:sz w:val="24"/>
          <w:szCs w:val="24"/>
        </w:rPr>
        <w:t>.</w:t>
      </w:r>
    </w:p>
    <w:p w14:paraId="601C2CD7"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União Estável: </w:t>
      </w:r>
    </w:p>
    <w:p w14:paraId="14656115"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Se o(s) transmitente(s)/adquirente(s) forem conviventes em união estável, e constando no título os dados da Escritura Pública de União Estável (quando houver), deverá ser apresentada nesta serventia a referida Escritura, dando entrada em protocolo a parte, mediante requerimento com firmas reconhecidas, (vinculado ao Contrato/Escritura), para registro no Livro 3- Registro Auxiliar. Documentos necessários para Registro do pacto antenupcial em</w:t>
      </w:r>
      <w:r>
        <w:rPr>
          <w:rFonts w:ascii="Times New Roman" w:hAnsi="Times New Roman" w:cs="Times New Roman"/>
          <w:sz w:val="24"/>
          <w:szCs w:val="24"/>
        </w:rPr>
        <w:t xml:space="preserve"> </w:t>
      </w:r>
      <w:hyperlink w:history="1">
        <w:r w:rsidRPr="002654DC">
          <w:rPr>
            <w:rStyle w:val="Hyperlink"/>
            <w:rFonts w:ascii="Times New Roman" w:hAnsi="Times New Roman" w:cs="Times New Roman"/>
            <w:sz w:val="24"/>
            <w:szCs w:val="24"/>
          </w:rPr>
          <w:t>www.2rimc.com.br&lt;</w:t>
        </w:r>
      </w:hyperlink>
      <w:r w:rsidRPr="00CE7F28">
        <w:rPr>
          <w:rFonts w:ascii="Times New Roman" w:hAnsi="Times New Roman" w:cs="Times New Roman"/>
          <w:sz w:val="24"/>
          <w:szCs w:val="24"/>
        </w:rPr>
        <w:t xml:space="preserve">. </w:t>
      </w:r>
    </w:p>
    <w:p w14:paraId="04A96236"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Havendo escolha de regime de bens diferente do legal (Comunhão Parcial de Bens), além da apresentação da Escritura de União Estável, deverá ser apresentado o Pacto Antenupcial. </w:t>
      </w:r>
    </w:p>
    <w:p w14:paraId="59A57795" w14:textId="4C553F91" w:rsidR="00CE7F28" w:rsidRDefault="00CE7F28" w:rsidP="00CE7F28">
      <w:pPr>
        <w:jc w:val="both"/>
        <w:rPr>
          <w:rFonts w:ascii="Times New Roman" w:hAnsi="Times New Roman" w:cs="Times New Roman"/>
          <w:sz w:val="24"/>
          <w:szCs w:val="24"/>
        </w:rPr>
      </w:pPr>
      <w:r w:rsidRPr="00212C77">
        <w:rPr>
          <w:rFonts w:ascii="Times New Roman" w:hAnsi="Times New Roman" w:cs="Times New Roman"/>
          <w:b/>
          <w:sz w:val="24"/>
          <w:szCs w:val="24"/>
        </w:rPr>
        <w:t>Fundamentação:</w:t>
      </w:r>
      <w:r w:rsidRPr="00CE7F28">
        <w:rPr>
          <w:rFonts w:ascii="Times New Roman" w:hAnsi="Times New Roman" w:cs="Times New Roman"/>
          <w:sz w:val="24"/>
          <w:szCs w:val="24"/>
        </w:rPr>
        <w:t xml:space="preserve"> Artigos 129 - 6º, 221, e 244 da Lei de Registros Públicos (Lei 6.015/73). Art. 7º e 8º, da Lei de Introdução as Normas do Direito Brasileiro LINDB - Dec.-Lei 4.657/1942; Artigos </w:t>
      </w:r>
      <w:r w:rsidR="00F53259">
        <w:rPr>
          <w:rFonts w:ascii="Times New Roman" w:hAnsi="Times New Roman" w:cs="Times New Roman"/>
          <w:sz w:val="24"/>
          <w:szCs w:val="24"/>
        </w:rPr>
        <w:t>183</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184</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715</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797</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826</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828</w:t>
      </w:r>
      <w:r w:rsidRPr="00CE7F28">
        <w:rPr>
          <w:rFonts w:ascii="Times New Roman" w:hAnsi="Times New Roman" w:cs="Times New Roman"/>
          <w:sz w:val="24"/>
          <w:szCs w:val="24"/>
        </w:rPr>
        <w:t xml:space="preserve"> a </w:t>
      </w:r>
      <w:r w:rsidR="00F53259">
        <w:rPr>
          <w:rFonts w:ascii="Times New Roman" w:hAnsi="Times New Roman" w:cs="Times New Roman"/>
          <w:sz w:val="24"/>
          <w:szCs w:val="24"/>
        </w:rPr>
        <w:t>830</w:t>
      </w:r>
      <w:r w:rsidRPr="00CE7F28">
        <w:rPr>
          <w:rFonts w:ascii="Times New Roman" w:hAnsi="Times New Roman" w:cs="Times New Roman"/>
          <w:sz w:val="24"/>
          <w:szCs w:val="24"/>
        </w:rPr>
        <w:t xml:space="preserve">, </w:t>
      </w:r>
      <w:r w:rsidR="00F53259">
        <w:rPr>
          <w:rFonts w:ascii="Times New Roman" w:hAnsi="Times New Roman" w:cs="Times New Roman"/>
          <w:sz w:val="24"/>
          <w:szCs w:val="24"/>
        </w:rPr>
        <w:t>861</w:t>
      </w:r>
      <w:r w:rsidRPr="00CE7F28">
        <w:rPr>
          <w:rFonts w:ascii="Times New Roman" w:hAnsi="Times New Roman" w:cs="Times New Roman"/>
          <w:sz w:val="24"/>
          <w:szCs w:val="24"/>
        </w:rPr>
        <w:t xml:space="preserve">, do Provimento </w:t>
      </w:r>
      <w:r w:rsidR="00F53259">
        <w:rPr>
          <w:rFonts w:ascii="Times New Roman" w:hAnsi="Times New Roman" w:cs="Times New Roman"/>
          <w:sz w:val="24"/>
          <w:szCs w:val="24"/>
        </w:rPr>
        <w:t>93</w:t>
      </w:r>
      <w:r w:rsidRPr="00CE7F28">
        <w:rPr>
          <w:rFonts w:ascii="Times New Roman" w:hAnsi="Times New Roman" w:cs="Times New Roman"/>
          <w:sz w:val="24"/>
          <w:szCs w:val="24"/>
        </w:rPr>
        <w:t>/20</w:t>
      </w:r>
      <w:r w:rsidR="00F53259">
        <w:rPr>
          <w:rFonts w:ascii="Times New Roman" w:hAnsi="Times New Roman" w:cs="Times New Roman"/>
          <w:sz w:val="24"/>
          <w:szCs w:val="24"/>
        </w:rPr>
        <w:t>20</w:t>
      </w:r>
      <w:r w:rsidRPr="00CE7F28">
        <w:rPr>
          <w:rFonts w:ascii="Times New Roman" w:hAnsi="Times New Roman" w:cs="Times New Roman"/>
          <w:sz w:val="24"/>
          <w:szCs w:val="24"/>
        </w:rPr>
        <w:t xml:space="preserve"> – CGJ/MG; Artigo 1.647 e 1.657 do Código Civil de 2002. </w:t>
      </w:r>
    </w:p>
    <w:p w14:paraId="2CF90236" w14:textId="77777777" w:rsidR="00DD6424" w:rsidRPr="00DD6424" w:rsidRDefault="00CE7F28" w:rsidP="00DD6424">
      <w:pPr>
        <w:ind w:left="851"/>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Declarações </w:t>
      </w:r>
    </w:p>
    <w:p w14:paraId="59E31AD8" w14:textId="5F431E94"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 Declaração do transmitente, sob responsabilidade civil e penal, de existência (ou inexistência) de outras ações reais ou pessoais reipersecutórios do imóvel, assim como de outros ônus reais incidentes sobre ele (esta informação deverá constar na Escritura/Contrato a ser registrado). </w:t>
      </w:r>
    </w:p>
    <w:p w14:paraId="56FDCBD9" w14:textId="1F1237CE"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Fundamentação: Art. </w:t>
      </w:r>
      <w:r w:rsidR="00F53259">
        <w:rPr>
          <w:rFonts w:ascii="Times New Roman" w:hAnsi="Times New Roman" w:cs="Times New Roman"/>
          <w:sz w:val="24"/>
          <w:szCs w:val="24"/>
        </w:rPr>
        <w:t>187</w:t>
      </w:r>
      <w:r w:rsidRPr="00CE7F28">
        <w:rPr>
          <w:rFonts w:ascii="Times New Roman" w:hAnsi="Times New Roman" w:cs="Times New Roman"/>
          <w:sz w:val="24"/>
          <w:szCs w:val="24"/>
        </w:rPr>
        <w:t xml:space="preserve">, § 2°, do Prov. </w:t>
      </w:r>
      <w:r w:rsidR="00F53259">
        <w:rPr>
          <w:rFonts w:ascii="Times New Roman" w:hAnsi="Times New Roman" w:cs="Times New Roman"/>
          <w:sz w:val="24"/>
          <w:szCs w:val="24"/>
        </w:rPr>
        <w:t>93</w:t>
      </w:r>
      <w:r w:rsidRPr="00CE7F28">
        <w:rPr>
          <w:rFonts w:ascii="Times New Roman" w:hAnsi="Times New Roman" w:cs="Times New Roman"/>
          <w:sz w:val="24"/>
          <w:szCs w:val="24"/>
        </w:rPr>
        <w:t>/20</w:t>
      </w:r>
      <w:r w:rsidR="00F53259">
        <w:rPr>
          <w:rFonts w:ascii="Times New Roman" w:hAnsi="Times New Roman" w:cs="Times New Roman"/>
          <w:sz w:val="24"/>
          <w:szCs w:val="24"/>
        </w:rPr>
        <w:t>20</w:t>
      </w:r>
      <w:r w:rsidRPr="00CE7F28">
        <w:rPr>
          <w:rFonts w:ascii="Times New Roman" w:hAnsi="Times New Roman" w:cs="Times New Roman"/>
          <w:sz w:val="24"/>
          <w:szCs w:val="24"/>
        </w:rPr>
        <w:t xml:space="preserve">. Art. 1º, § 3º, Decreto 93.240/86. </w:t>
      </w:r>
    </w:p>
    <w:p w14:paraId="1D1D04A4" w14:textId="2B21B442" w:rsidR="00E252B0"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 Declaração de inalteração de conteúdo das certidões de nascimento/casamento do vendedor e da adquirente (esta informação deverá constar na Escritura/Contrato a ser registrado). </w:t>
      </w:r>
    </w:p>
    <w:p w14:paraId="2370F278" w14:textId="12DE2D3E"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Fundamentação: Art. </w:t>
      </w:r>
      <w:r w:rsidR="00F53259">
        <w:rPr>
          <w:rFonts w:ascii="Times New Roman" w:hAnsi="Times New Roman" w:cs="Times New Roman"/>
          <w:sz w:val="24"/>
          <w:szCs w:val="24"/>
        </w:rPr>
        <w:t>878</w:t>
      </w:r>
      <w:r w:rsidRPr="00CE7F28">
        <w:rPr>
          <w:rFonts w:ascii="Times New Roman" w:hAnsi="Times New Roman" w:cs="Times New Roman"/>
          <w:sz w:val="24"/>
          <w:szCs w:val="24"/>
        </w:rPr>
        <w:t>, § 1° e art.</w:t>
      </w:r>
      <w:r w:rsidR="00F53259">
        <w:rPr>
          <w:rFonts w:ascii="Times New Roman" w:hAnsi="Times New Roman" w:cs="Times New Roman"/>
          <w:sz w:val="24"/>
          <w:szCs w:val="24"/>
        </w:rPr>
        <w:t xml:space="preserve"> 183</w:t>
      </w:r>
      <w:r w:rsidRPr="00CE7F28">
        <w:rPr>
          <w:rFonts w:ascii="Times New Roman" w:hAnsi="Times New Roman" w:cs="Times New Roman"/>
          <w:sz w:val="24"/>
          <w:szCs w:val="24"/>
        </w:rPr>
        <w:t xml:space="preserve">, V, Prov. </w:t>
      </w:r>
      <w:r w:rsidR="00F53259">
        <w:rPr>
          <w:rFonts w:ascii="Times New Roman" w:hAnsi="Times New Roman" w:cs="Times New Roman"/>
          <w:sz w:val="24"/>
          <w:szCs w:val="24"/>
        </w:rPr>
        <w:t>93</w:t>
      </w:r>
      <w:r w:rsidRPr="00CE7F28">
        <w:rPr>
          <w:rFonts w:ascii="Times New Roman" w:hAnsi="Times New Roman" w:cs="Times New Roman"/>
          <w:sz w:val="24"/>
          <w:szCs w:val="24"/>
        </w:rPr>
        <w:t>/</w:t>
      </w:r>
      <w:r w:rsidR="00F53259">
        <w:rPr>
          <w:rFonts w:ascii="Times New Roman" w:hAnsi="Times New Roman" w:cs="Times New Roman"/>
          <w:sz w:val="24"/>
          <w:szCs w:val="24"/>
        </w:rPr>
        <w:t>20</w:t>
      </w:r>
      <w:r w:rsidRPr="00CE7F28">
        <w:rPr>
          <w:rFonts w:ascii="Times New Roman" w:hAnsi="Times New Roman" w:cs="Times New Roman"/>
          <w:sz w:val="24"/>
          <w:szCs w:val="24"/>
        </w:rPr>
        <w:t xml:space="preserve">. </w:t>
      </w:r>
    </w:p>
    <w:p w14:paraId="2EB835FF" w14:textId="77777777" w:rsidR="00DD6424" w:rsidRPr="00DD6424" w:rsidRDefault="00CE7F28" w:rsidP="00DD6424">
      <w:pPr>
        <w:ind w:left="567"/>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Quitação de Condomínio </w:t>
      </w:r>
    </w:p>
    <w:p w14:paraId="4A89768D" w14:textId="0D5270A6" w:rsidR="00CE7F28" w:rsidRDefault="00CE7F28" w:rsidP="00DD6424">
      <w:pPr>
        <w:jc w:val="both"/>
        <w:rPr>
          <w:rFonts w:ascii="Times New Roman" w:hAnsi="Times New Roman" w:cs="Times New Roman"/>
          <w:sz w:val="24"/>
          <w:szCs w:val="24"/>
        </w:rPr>
      </w:pPr>
      <w:r w:rsidRPr="00CE7F28">
        <w:rPr>
          <w:rFonts w:ascii="Times New Roman" w:hAnsi="Times New Roman" w:cs="Times New Roman"/>
          <w:sz w:val="24"/>
          <w:szCs w:val="24"/>
        </w:rPr>
        <w:t xml:space="preserve">Se o imóvel objeto do negócio jurídico estiver em condomínio, deverá ser observado o seguinte: </w:t>
      </w:r>
    </w:p>
    <w:p w14:paraId="0EDA3F4C"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Em caso de Escritura Pública, deverá haver a menção à quitação de condomínio ou declaração do transmitente. </w:t>
      </w:r>
    </w:p>
    <w:p w14:paraId="5146ED98" w14:textId="77777777" w:rsidR="00CE7F28"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Em caso de Instrumento Particular, além da possibilidade de menção expressa no título, poderá haver a apresentação em apartado de Declaração/Prova de quitação, a qual ficará arquivado na serventia. </w:t>
      </w:r>
    </w:p>
    <w:p w14:paraId="431C5146" w14:textId="032A3D66" w:rsidR="00CE7F28" w:rsidRDefault="00CE7F28" w:rsidP="00CE7F28">
      <w:pPr>
        <w:jc w:val="both"/>
        <w:rPr>
          <w:rFonts w:ascii="Times New Roman" w:hAnsi="Times New Roman" w:cs="Times New Roman"/>
          <w:sz w:val="24"/>
          <w:szCs w:val="24"/>
        </w:rPr>
      </w:pPr>
      <w:r w:rsidRPr="00212C77">
        <w:rPr>
          <w:rFonts w:ascii="Times New Roman" w:hAnsi="Times New Roman" w:cs="Times New Roman"/>
          <w:b/>
          <w:sz w:val="24"/>
          <w:szCs w:val="24"/>
        </w:rPr>
        <w:t>Fundamentação:</w:t>
      </w:r>
      <w:r w:rsidRPr="00CE7F28">
        <w:rPr>
          <w:rFonts w:ascii="Times New Roman" w:hAnsi="Times New Roman" w:cs="Times New Roman"/>
          <w:sz w:val="24"/>
          <w:szCs w:val="24"/>
        </w:rPr>
        <w:t xml:space="preserve"> Art. 2º, §2º, da 7.433/85. Art. </w:t>
      </w:r>
      <w:r w:rsidR="00B77F9F">
        <w:rPr>
          <w:rFonts w:ascii="Times New Roman" w:hAnsi="Times New Roman" w:cs="Times New Roman"/>
          <w:sz w:val="24"/>
          <w:szCs w:val="24"/>
        </w:rPr>
        <w:t>183</w:t>
      </w:r>
      <w:r w:rsidRPr="00CE7F28">
        <w:rPr>
          <w:rFonts w:ascii="Times New Roman" w:hAnsi="Times New Roman" w:cs="Times New Roman"/>
          <w:sz w:val="24"/>
          <w:szCs w:val="24"/>
        </w:rPr>
        <w:t xml:space="preserve">, do Prov. </w:t>
      </w:r>
      <w:r w:rsidR="00B77F9F">
        <w:rPr>
          <w:rFonts w:ascii="Times New Roman" w:hAnsi="Times New Roman" w:cs="Times New Roman"/>
          <w:sz w:val="24"/>
          <w:szCs w:val="24"/>
        </w:rPr>
        <w:t>93</w:t>
      </w:r>
      <w:r w:rsidRPr="00CE7F28">
        <w:rPr>
          <w:rFonts w:ascii="Times New Roman" w:hAnsi="Times New Roman" w:cs="Times New Roman"/>
          <w:sz w:val="24"/>
          <w:szCs w:val="24"/>
        </w:rPr>
        <w:t>/20</w:t>
      </w:r>
      <w:r w:rsidR="00B77F9F">
        <w:rPr>
          <w:rFonts w:ascii="Times New Roman" w:hAnsi="Times New Roman" w:cs="Times New Roman"/>
          <w:sz w:val="24"/>
          <w:szCs w:val="24"/>
        </w:rPr>
        <w:t>20</w:t>
      </w:r>
      <w:r w:rsidRPr="00CE7F28">
        <w:rPr>
          <w:rFonts w:ascii="Times New Roman" w:hAnsi="Times New Roman" w:cs="Times New Roman"/>
          <w:sz w:val="24"/>
          <w:szCs w:val="24"/>
        </w:rPr>
        <w:t xml:space="preserve">. Parágrafo único do artigo 4º da Lei 4.591/64. </w:t>
      </w:r>
    </w:p>
    <w:p w14:paraId="50E892EC" w14:textId="77777777" w:rsidR="00DD6424" w:rsidRPr="00DD6424" w:rsidRDefault="00CE7F28" w:rsidP="00DD6424">
      <w:pPr>
        <w:ind w:left="426"/>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Reconhecimento de Firma </w:t>
      </w:r>
    </w:p>
    <w:p w14:paraId="4CD0AF17" w14:textId="46C3338B" w:rsidR="00DD6424"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 xml:space="preserve">Com exceção dos contratos particulares com força de Escritura Pública de instituições integrantes do </w:t>
      </w:r>
      <w:r w:rsidR="00212C77">
        <w:rPr>
          <w:rFonts w:ascii="Times New Roman" w:hAnsi="Times New Roman" w:cs="Times New Roman"/>
          <w:sz w:val="24"/>
          <w:szCs w:val="24"/>
        </w:rPr>
        <w:t xml:space="preserve">PMCMV, PCVA e </w:t>
      </w:r>
      <w:r w:rsidRPr="00CE7F28">
        <w:rPr>
          <w:rFonts w:ascii="Times New Roman" w:hAnsi="Times New Roman" w:cs="Times New Roman"/>
          <w:sz w:val="24"/>
          <w:szCs w:val="24"/>
        </w:rPr>
        <w:t xml:space="preserve">SFH, deverá ser exigido reconhecimento de firma de todos os participantes do contrato, inclusive testemunhas, em todas as vias do contrato apresentadas perante </w:t>
      </w:r>
      <w:r w:rsidR="00DD6424" w:rsidRPr="00CE7F28">
        <w:rPr>
          <w:rFonts w:ascii="Times New Roman" w:hAnsi="Times New Roman" w:cs="Times New Roman"/>
          <w:sz w:val="24"/>
          <w:szCs w:val="24"/>
        </w:rPr>
        <w:t>est</w:t>
      </w:r>
      <w:r w:rsidR="00DD6424">
        <w:rPr>
          <w:rFonts w:ascii="Times New Roman" w:hAnsi="Times New Roman" w:cs="Times New Roman"/>
          <w:sz w:val="24"/>
          <w:szCs w:val="24"/>
        </w:rPr>
        <w:t>a</w:t>
      </w:r>
      <w:r w:rsidRPr="00CE7F28">
        <w:rPr>
          <w:rFonts w:ascii="Times New Roman" w:hAnsi="Times New Roman" w:cs="Times New Roman"/>
          <w:sz w:val="24"/>
          <w:szCs w:val="24"/>
        </w:rPr>
        <w:t xml:space="preserve"> Serventia. </w:t>
      </w:r>
    </w:p>
    <w:p w14:paraId="28DA8D7B" w14:textId="7CD9E662" w:rsidR="00FD2457" w:rsidRDefault="00CE7F28" w:rsidP="00CE7F28">
      <w:pPr>
        <w:jc w:val="both"/>
        <w:rPr>
          <w:rFonts w:ascii="Times New Roman" w:hAnsi="Times New Roman" w:cs="Times New Roman"/>
          <w:sz w:val="24"/>
          <w:szCs w:val="24"/>
        </w:rPr>
      </w:pPr>
      <w:r w:rsidRPr="00CE7F28">
        <w:rPr>
          <w:rFonts w:ascii="Times New Roman" w:hAnsi="Times New Roman" w:cs="Times New Roman"/>
          <w:sz w:val="24"/>
          <w:szCs w:val="24"/>
        </w:rPr>
        <w:t>Observa-se que todas as vias e folhas do contrato deverá conter a rubrica de todos os envolvidas no negócio jurídico, tais como: vendedores, compradores, Banco e testemunhas. Observa-se, ainda, que ficará arquivada neste Registro de Imóveis uma via do instrumento.</w:t>
      </w:r>
    </w:p>
    <w:p w14:paraId="26180977" w14:textId="2C5F68ED" w:rsidR="00DD6424" w:rsidRDefault="00DD6424" w:rsidP="00CE7F28">
      <w:pPr>
        <w:jc w:val="both"/>
        <w:rPr>
          <w:rFonts w:ascii="Times New Roman" w:hAnsi="Times New Roman" w:cs="Times New Roman"/>
          <w:sz w:val="24"/>
          <w:szCs w:val="24"/>
        </w:rPr>
      </w:pPr>
      <w:r w:rsidRPr="00212C77">
        <w:rPr>
          <w:rFonts w:ascii="Times New Roman" w:hAnsi="Times New Roman" w:cs="Times New Roman"/>
          <w:b/>
          <w:sz w:val="24"/>
          <w:szCs w:val="24"/>
        </w:rPr>
        <w:t>Fundamentação:</w:t>
      </w:r>
      <w:r w:rsidRPr="00DD6424">
        <w:rPr>
          <w:rFonts w:ascii="Times New Roman" w:hAnsi="Times New Roman" w:cs="Times New Roman"/>
          <w:sz w:val="24"/>
          <w:szCs w:val="24"/>
        </w:rPr>
        <w:t xml:space="preserve"> Arts. </w:t>
      </w:r>
      <w:r w:rsidR="00B77F9F">
        <w:rPr>
          <w:rFonts w:ascii="Times New Roman" w:hAnsi="Times New Roman" w:cs="Times New Roman"/>
          <w:sz w:val="24"/>
          <w:szCs w:val="24"/>
        </w:rPr>
        <w:t>861</w:t>
      </w:r>
      <w:r w:rsidRPr="00DD6424">
        <w:rPr>
          <w:rFonts w:ascii="Times New Roman" w:hAnsi="Times New Roman" w:cs="Times New Roman"/>
          <w:sz w:val="24"/>
          <w:szCs w:val="24"/>
        </w:rPr>
        <w:t xml:space="preserve">, II, e §1º; art. </w:t>
      </w:r>
      <w:r w:rsidR="00B77F9F">
        <w:rPr>
          <w:rFonts w:ascii="Times New Roman" w:hAnsi="Times New Roman" w:cs="Times New Roman"/>
          <w:sz w:val="24"/>
          <w:szCs w:val="24"/>
        </w:rPr>
        <w:t>877</w:t>
      </w:r>
      <w:r w:rsidRPr="00DD6424">
        <w:rPr>
          <w:rFonts w:ascii="Times New Roman" w:hAnsi="Times New Roman" w:cs="Times New Roman"/>
          <w:sz w:val="24"/>
          <w:szCs w:val="24"/>
        </w:rPr>
        <w:t xml:space="preserve">, do Prov. </w:t>
      </w:r>
      <w:r w:rsidR="00B77F9F">
        <w:rPr>
          <w:rFonts w:ascii="Times New Roman" w:hAnsi="Times New Roman" w:cs="Times New Roman"/>
          <w:sz w:val="24"/>
          <w:szCs w:val="24"/>
        </w:rPr>
        <w:t>93</w:t>
      </w:r>
      <w:r w:rsidRPr="00DD6424">
        <w:rPr>
          <w:rFonts w:ascii="Times New Roman" w:hAnsi="Times New Roman" w:cs="Times New Roman"/>
          <w:sz w:val="24"/>
          <w:szCs w:val="24"/>
        </w:rPr>
        <w:t>/20</w:t>
      </w:r>
      <w:r w:rsidR="00B77F9F">
        <w:rPr>
          <w:rFonts w:ascii="Times New Roman" w:hAnsi="Times New Roman" w:cs="Times New Roman"/>
          <w:sz w:val="24"/>
          <w:szCs w:val="24"/>
        </w:rPr>
        <w:t>20</w:t>
      </w:r>
      <w:r w:rsidRPr="00DD6424">
        <w:rPr>
          <w:rFonts w:ascii="Times New Roman" w:hAnsi="Times New Roman" w:cs="Times New Roman"/>
          <w:sz w:val="24"/>
          <w:szCs w:val="24"/>
        </w:rPr>
        <w:t xml:space="preserve">. Art. 221, II da Lei de Registros Públicos (Lei 6.015/73). Artigos 8º e 61, §5º e §6º da 4.380/64; e artigo 2º da Lei 9514/97. </w:t>
      </w:r>
    </w:p>
    <w:p w14:paraId="612EEE28" w14:textId="77777777" w:rsidR="00DD6424" w:rsidRPr="00DD6424" w:rsidRDefault="00DD6424" w:rsidP="00DD6424">
      <w:pPr>
        <w:ind w:left="426"/>
        <w:jc w:val="both"/>
        <w:rPr>
          <w:rFonts w:ascii="Times New Roman" w:hAnsi="Times New Roman" w:cs="Times New Roman"/>
          <w:b/>
          <w:bCs/>
          <w:sz w:val="24"/>
          <w:szCs w:val="24"/>
        </w:rPr>
      </w:pPr>
      <w:r w:rsidRPr="00DD6424">
        <w:rPr>
          <w:rFonts w:ascii="Times New Roman" w:hAnsi="Times New Roman" w:cs="Times New Roman"/>
          <w:b/>
          <w:bCs/>
          <w:sz w:val="24"/>
          <w:szCs w:val="24"/>
        </w:rPr>
        <w:sym w:font="Symbol" w:char="F0B7"/>
      </w:r>
      <w:r w:rsidRPr="00DD6424">
        <w:rPr>
          <w:rFonts w:ascii="Times New Roman" w:hAnsi="Times New Roman" w:cs="Times New Roman"/>
          <w:b/>
          <w:bCs/>
          <w:sz w:val="24"/>
          <w:szCs w:val="24"/>
        </w:rPr>
        <w:t xml:space="preserve"> Demais Requisitos </w:t>
      </w:r>
    </w:p>
    <w:p w14:paraId="47EABDA1" w14:textId="77777777" w:rsidR="00DD6424" w:rsidRDefault="00DD6424" w:rsidP="00CE7F28">
      <w:pPr>
        <w:jc w:val="both"/>
        <w:rPr>
          <w:rFonts w:ascii="Times New Roman" w:hAnsi="Times New Roman" w:cs="Times New Roman"/>
          <w:sz w:val="24"/>
          <w:szCs w:val="24"/>
        </w:rPr>
      </w:pPr>
      <w:r w:rsidRPr="00DD6424">
        <w:rPr>
          <w:rFonts w:ascii="Times New Roman" w:hAnsi="Times New Roman" w:cs="Times New Roman"/>
          <w:sz w:val="24"/>
          <w:szCs w:val="24"/>
        </w:rPr>
        <w:t xml:space="preserve">- Alienação fiduciária deverá seguir os requisitos do art. 24, 26 e 27 da 9.514/97. </w:t>
      </w:r>
    </w:p>
    <w:p w14:paraId="6A1FC2E2" w14:textId="77777777" w:rsidR="00DD6424" w:rsidRDefault="00DD6424" w:rsidP="00CE7F28">
      <w:pPr>
        <w:jc w:val="both"/>
        <w:rPr>
          <w:rFonts w:ascii="Times New Roman" w:hAnsi="Times New Roman" w:cs="Times New Roman"/>
          <w:sz w:val="24"/>
          <w:szCs w:val="24"/>
        </w:rPr>
      </w:pPr>
      <w:r w:rsidRPr="00DD6424">
        <w:rPr>
          <w:rFonts w:ascii="Times New Roman" w:hAnsi="Times New Roman" w:cs="Times New Roman"/>
          <w:sz w:val="24"/>
          <w:szCs w:val="24"/>
        </w:rPr>
        <w:t>- Hipoteca deverá seguir os requisitos do Art. 1.419 e seguintes da Lei 10.406/2002.</w:t>
      </w:r>
    </w:p>
    <w:p w14:paraId="4E68466C" w14:textId="3F2471D7" w:rsidR="00DD6424" w:rsidRDefault="00DD6424" w:rsidP="00CE7F28">
      <w:pPr>
        <w:jc w:val="both"/>
        <w:rPr>
          <w:rFonts w:ascii="Times New Roman" w:hAnsi="Times New Roman" w:cs="Times New Roman"/>
          <w:sz w:val="24"/>
          <w:szCs w:val="24"/>
        </w:rPr>
      </w:pPr>
      <w:r w:rsidRPr="00DD6424">
        <w:rPr>
          <w:rFonts w:ascii="Times New Roman" w:hAnsi="Times New Roman" w:cs="Times New Roman"/>
          <w:sz w:val="24"/>
          <w:szCs w:val="24"/>
        </w:rPr>
        <w:t>- Consórcio deverá seguir os requisitos da Lei 11.795/2008.</w:t>
      </w:r>
    </w:p>
    <w:p w14:paraId="743014FA" w14:textId="73A1ACC9" w:rsidR="00094B06" w:rsidRDefault="00094B06" w:rsidP="00CE7F28">
      <w:pPr>
        <w:jc w:val="both"/>
        <w:rPr>
          <w:rFonts w:ascii="Times New Roman" w:hAnsi="Times New Roman" w:cs="Times New Roman"/>
          <w:sz w:val="24"/>
          <w:szCs w:val="24"/>
        </w:rPr>
      </w:pPr>
    </w:p>
    <w:p w14:paraId="1C6E7F80" w14:textId="561E1B4E" w:rsidR="00094B06" w:rsidRDefault="00094B06" w:rsidP="00CE7F28">
      <w:pPr>
        <w:jc w:val="both"/>
        <w:rPr>
          <w:rFonts w:ascii="Times New Roman" w:hAnsi="Times New Roman" w:cs="Times New Roman"/>
          <w:sz w:val="24"/>
          <w:szCs w:val="24"/>
        </w:rPr>
      </w:pPr>
    </w:p>
    <w:p w14:paraId="5C0A55F4" w14:textId="13904A95" w:rsidR="00094B06" w:rsidRDefault="00094B06" w:rsidP="00CE7F28">
      <w:pPr>
        <w:jc w:val="both"/>
        <w:rPr>
          <w:rFonts w:ascii="Times New Roman" w:hAnsi="Times New Roman" w:cs="Times New Roman"/>
          <w:sz w:val="24"/>
          <w:szCs w:val="24"/>
        </w:rPr>
      </w:pPr>
    </w:p>
    <w:p w14:paraId="218A00E9" w14:textId="4651A8C3" w:rsidR="00094B06" w:rsidRDefault="00094B06" w:rsidP="00CE7F28">
      <w:pPr>
        <w:jc w:val="both"/>
        <w:rPr>
          <w:rFonts w:ascii="Times New Roman" w:hAnsi="Times New Roman" w:cs="Times New Roman"/>
          <w:sz w:val="24"/>
          <w:szCs w:val="24"/>
        </w:rPr>
      </w:pPr>
    </w:p>
    <w:p w14:paraId="45C40A92" w14:textId="0CD652B1" w:rsidR="00094B06" w:rsidRDefault="00094B06" w:rsidP="00CE7F28">
      <w:pPr>
        <w:jc w:val="both"/>
        <w:rPr>
          <w:rFonts w:ascii="Times New Roman" w:hAnsi="Times New Roman" w:cs="Times New Roman"/>
          <w:sz w:val="24"/>
          <w:szCs w:val="24"/>
        </w:rPr>
      </w:pPr>
    </w:p>
    <w:p w14:paraId="152F0700" w14:textId="482C5567" w:rsidR="00094B06" w:rsidRDefault="00094B06" w:rsidP="00CE7F28">
      <w:pPr>
        <w:jc w:val="both"/>
        <w:rPr>
          <w:rFonts w:ascii="Times New Roman" w:hAnsi="Times New Roman" w:cs="Times New Roman"/>
          <w:sz w:val="24"/>
          <w:szCs w:val="24"/>
        </w:rPr>
      </w:pPr>
    </w:p>
    <w:p w14:paraId="67D5386B" w14:textId="79E23F34" w:rsidR="00094B06" w:rsidRDefault="00094B06" w:rsidP="00CE7F28">
      <w:pPr>
        <w:jc w:val="both"/>
        <w:rPr>
          <w:rFonts w:ascii="Times New Roman" w:hAnsi="Times New Roman" w:cs="Times New Roman"/>
          <w:sz w:val="24"/>
          <w:szCs w:val="24"/>
        </w:rPr>
      </w:pPr>
    </w:p>
    <w:p w14:paraId="779FA207" w14:textId="4217D55D" w:rsidR="00094B06" w:rsidRDefault="00094B06" w:rsidP="00CE7F28">
      <w:pPr>
        <w:jc w:val="both"/>
        <w:rPr>
          <w:rFonts w:ascii="Times New Roman" w:hAnsi="Times New Roman" w:cs="Times New Roman"/>
          <w:sz w:val="24"/>
          <w:szCs w:val="24"/>
        </w:rPr>
      </w:pPr>
    </w:p>
    <w:p w14:paraId="27611D24" w14:textId="53A7A513" w:rsidR="00094B06" w:rsidRDefault="00094B06" w:rsidP="00CE7F28">
      <w:pPr>
        <w:jc w:val="both"/>
        <w:rPr>
          <w:rFonts w:ascii="Times New Roman" w:hAnsi="Times New Roman" w:cs="Times New Roman"/>
          <w:sz w:val="24"/>
          <w:szCs w:val="24"/>
        </w:rPr>
      </w:pPr>
    </w:p>
    <w:p w14:paraId="6174B02E" w14:textId="5497AC3A" w:rsidR="00094B06" w:rsidRDefault="00094B06" w:rsidP="00CE7F28">
      <w:pPr>
        <w:jc w:val="both"/>
        <w:rPr>
          <w:rFonts w:ascii="Times New Roman" w:hAnsi="Times New Roman" w:cs="Times New Roman"/>
          <w:sz w:val="24"/>
          <w:szCs w:val="24"/>
        </w:rPr>
      </w:pPr>
    </w:p>
    <w:p w14:paraId="59B70CE7" w14:textId="5E76DFF8" w:rsidR="00094B06" w:rsidRDefault="00094B06" w:rsidP="00CE7F28">
      <w:pPr>
        <w:jc w:val="both"/>
        <w:rPr>
          <w:rFonts w:ascii="Times New Roman" w:hAnsi="Times New Roman" w:cs="Times New Roman"/>
          <w:sz w:val="24"/>
          <w:szCs w:val="24"/>
        </w:rPr>
      </w:pPr>
    </w:p>
    <w:p w14:paraId="117B1612" w14:textId="3A0A765F" w:rsidR="00094B06" w:rsidRDefault="00094B06" w:rsidP="00CE7F28">
      <w:pPr>
        <w:jc w:val="both"/>
        <w:rPr>
          <w:rFonts w:ascii="Times New Roman" w:hAnsi="Times New Roman" w:cs="Times New Roman"/>
          <w:sz w:val="24"/>
          <w:szCs w:val="24"/>
        </w:rPr>
      </w:pPr>
    </w:p>
    <w:p w14:paraId="3E6BFF71" w14:textId="50335F3A" w:rsidR="00094B06" w:rsidRDefault="00094B06" w:rsidP="00CE7F28">
      <w:pPr>
        <w:jc w:val="both"/>
        <w:rPr>
          <w:rFonts w:ascii="Times New Roman" w:hAnsi="Times New Roman" w:cs="Times New Roman"/>
          <w:sz w:val="24"/>
          <w:szCs w:val="24"/>
        </w:rPr>
      </w:pPr>
    </w:p>
    <w:p w14:paraId="5DD9115B" w14:textId="6B7BAF5D" w:rsidR="00094B06" w:rsidRDefault="00094B06" w:rsidP="00CE7F28">
      <w:pPr>
        <w:jc w:val="both"/>
        <w:rPr>
          <w:rFonts w:ascii="Times New Roman" w:hAnsi="Times New Roman" w:cs="Times New Roman"/>
          <w:sz w:val="24"/>
          <w:szCs w:val="24"/>
        </w:rPr>
      </w:pPr>
    </w:p>
    <w:p w14:paraId="030384CA" w14:textId="3909F28E" w:rsidR="00094B06" w:rsidRDefault="00094B06" w:rsidP="00CE7F28">
      <w:pPr>
        <w:jc w:val="both"/>
        <w:rPr>
          <w:rFonts w:ascii="Times New Roman" w:hAnsi="Times New Roman" w:cs="Times New Roman"/>
          <w:sz w:val="24"/>
          <w:szCs w:val="24"/>
        </w:rPr>
      </w:pPr>
    </w:p>
    <w:p w14:paraId="4DAAFBC4" w14:textId="3389784D" w:rsidR="00094B06" w:rsidRDefault="00094B06" w:rsidP="00CE7F28">
      <w:pPr>
        <w:jc w:val="both"/>
        <w:rPr>
          <w:rFonts w:ascii="Times New Roman" w:hAnsi="Times New Roman" w:cs="Times New Roman"/>
          <w:sz w:val="24"/>
          <w:szCs w:val="24"/>
        </w:rPr>
      </w:pPr>
    </w:p>
    <w:p w14:paraId="3BD9039B" w14:textId="5EE2A75A" w:rsidR="00094B06" w:rsidRDefault="00094B06" w:rsidP="00CE7F28">
      <w:pPr>
        <w:jc w:val="both"/>
        <w:rPr>
          <w:rFonts w:ascii="Times New Roman" w:hAnsi="Times New Roman" w:cs="Times New Roman"/>
          <w:sz w:val="24"/>
          <w:szCs w:val="24"/>
        </w:rPr>
      </w:pPr>
    </w:p>
    <w:p w14:paraId="57F36E80" w14:textId="77777777" w:rsidR="00094B06" w:rsidRDefault="00094B06" w:rsidP="00CE7F28">
      <w:pPr>
        <w:jc w:val="both"/>
        <w:rPr>
          <w:rFonts w:ascii="Times New Roman" w:hAnsi="Times New Roman" w:cs="Times New Roman"/>
          <w:sz w:val="24"/>
          <w:szCs w:val="24"/>
        </w:rPr>
      </w:pPr>
    </w:p>
    <w:p w14:paraId="29953BC1" w14:textId="77777777" w:rsidR="00094B06" w:rsidRPr="00787FDD" w:rsidRDefault="00094B06" w:rsidP="00094B06">
      <w:pPr>
        <w:pStyle w:val="Ferncorpotxt"/>
        <w:rPr>
          <w:sz w:val="20"/>
          <w:szCs w:val="20"/>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p w14:paraId="41E5D7D1" w14:textId="77777777" w:rsidR="00094B06" w:rsidRPr="00DD6424" w:rsidRDefault="00094B06" w:rsidP="00CE7F28">
      <w:pPr>
        <w:jc w:val="both"/>
        <w:rPr>
          <w:rFonts w:ascii="Times New Roman" w:hAnsi="Times New Roman" w:cs="Times New Roman"/>
          <w:sz w:val="24"/>
          <w:szCs w:val="24"/>
        </w:rPr>
      </w:pPr>
    </w:p>
    <w:sectPr w:rsidR="00094B06" w:rsidRPr="00DD6424" w:rsidSect="000D2748">
      <w:headerReference w:type="default" r:id="rId7"/>
      <w:footerReference w:type="default" r:id="rId8"/>
      <w:pgSz w:w="11906" w:h="16838"/>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A507" w14:textId="77777777" w:rsidR="00DB4D71" w:rsidRDefault="00DB4D71" w:rsidP="00FD2457">
      <w:pPr>
        <w:spacing w:after="0" w:line="240" w:lineRule="auto"/>
      </w:pPr>
      <w:r>
        <w:separator/>
      </w:r>
    </w:p>
  </w:endnote>
  <w:endnote w:type="continuationSeparator" w:id="0">
    <w:p w14:paraId="43B732B5" w14:textId="77777777" w:rsidR="00DB4D71" w:rsidRDefault="00DB4D71" w:rsidP="00FD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0F5" w14:textId="1F811EBC" w:rsidR="003D2704" w:rsidRPr="007D7269" w:rsidRDefault="003D2704" w:rsidP="007D7269">
    <w:pPr>
      <w:pStyle w:val="Rodap"/>
      <w:jc w:val="right"/>
      <w:rPr>
        <w:rFonts w:ascii="Times New Roman" w:hAnsi="Times New Roman" w:cs="Times New Roman"/>
        <w:sz w:val="20"/>
        <w:szCs w:val="20"/>
      </w:rPr>
    </w:pPr>
    <w:r w:rsidRPr="007D7269">
      <w:rPr>
        <w:rFonts w:ascii="Times New Roman" w:hAnsi="Times New Roman" w:cs="Times New Roman"/>
        <w:sz w:val="20"/>
        <w:szCs w:val="20"/>
      </w:rPr>
      <w:t>1ª Revisão em 30/11/2020</w:t>
    </w:r>
    <w:r w:rsidR="00094B06">
      <w:rPr>
        <w:rFonts w:ascii="Times New Roman" w:hAnsi="Times New Roman" w:cs="Times New Roman"/>
        <w:sz w:val="20"/>
        <w:szCs w:val="20"/>
      </w:rPr>
      <w:t>, 2ª revisão em 11/05/2022.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5584" w14:textId="77777777" w:rsidR="00DB4D71" w:rsidRDefault="00DB4D71" w:rsidP="00FD2457">
      <w:pPr>
        <w:spacing w:after="0" w:line="240" w:lineRule="auto"/>
      </w:pPr>
      <w:r>
        <w:separator/>
      </w:r>
    </w:p>
  </w:footnote>
  <w:footnote w:type="continuationSeparator" w:id="0">
    <w:p w14:paraId="091AF3BE" w14:textId="77777777" w:rsidR="00DB4D71" w:rsidRDefault="00DB4D71" w:rsidP="00FD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9" w:type="dxa"/>
      <w:tblCellSpacing w:w="20" w:type="dxa"/>
      <w:tblInd w:w="-1104"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010"/>
      <w:gridCol w:w="6351"/>
      <w:gridCol w:w="2258"/>
    </w:tblGrid>
    <w:tr w:rsidR="003D2704" w:rsidRPr="001B394B" w14:paraId="4CF087B1" w14:textId="77777777" w:rsidTr="000D2748">
      <w:trPr>
        <w:trHeight w:val="272"/>
        <w:tblCellSpacing w:w="20" w:type="dxa"/>
      </w:trPr>
      <w:tc>
        <w:tcPr>
          <w:tcW w:w="1950" w:type="dxa"/>
          <w:vMerge w:val="restart"/>
          <w:shd w:val="clear" w:color="auto" w:fill="auto"/>
          <w:vAlign w:val="center"/>
        </w:tcPr>
        <w:p w14:paraId="1E62EF1C" w14:textId="77777777" w:rsidR="003D2704" w:rsidRPr="001B394B" w:rsidRDefault="003D2704" w:rsidP="000D2748">
          <w:pPr>
            <w:autoSpaceDE w:val="0"/>
            <w:autoSpaceDN w:val="0"/>
            <w:adjustRightInd w:val="0"/>
            <w:spacing w:after="0" w:line="240" w:lineRule="auto"/>
            <w:ind w:right="-5"/>
            <w:jc w:val="center"/>
            <w:rPr>
              <w:rFonts w:ascii="Times New Roman" w:hAnsi="Times New Roman"/>
              <w:sz w:val="20"/>
              <w:szCs w:val="20"/>
            </w:rPr>
          </w:pPr>
          <w:r w:rsidRPr="001B394B">
            <w:rPr>
              <w:rFonts w:ascii="Times New Roman" w:hAnsi="Times New Roman"/>
              <w:noProof/>
              <w:sz w:val="20"/>
              <w:szCs w:val="20"/>
              <w:lang w:eastAsia="pt-BR"/>
            </w:rPr>
            <w:drawing>
              <wp:inline distT="0" distB="0" distL="0" distR="0" wp14:anchorId="5D991DAC" wp14:editId="56144831">
                <wp:extent cx="809625" cy="988219"/>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810698" cy="989529"/>
                        </a:xfrm>
                        <a:prstGeom prst="rect">
                          <a:avLst/>
                        </a:prstGeom>
                        <a:noFill/>
                        <a:ln>
                          <a:noFill/>
                        </a:ln>
                      </pic:spPr>
                    </pic:pic>
                  </a:graphicData>
                </a:graphic>
              </wp:inline>
            </w:drawing>
          </w:r>
        </w:p>
      </w:tc>
      <w:tc>
        <w:tcPr>
          <w:tcW w:w="6311" w:type="dxa"/>
          <w:shd w:val="clear" w:color="auto" w:fill="auto"/>
          <w:vAlign w:val="center"/>
        </w:tcPr>
        <w:p w14:paraId="547BC6CF" w14:textId="77777777" w:rsidR="003D2704" w:rsidRPr="000D2748" w:rsidRDefault="003D2704" w:rsidP="000D2748">
          <w:pPr>
            <w:spacing w:before="120" w:after="120" w:line="240" w:lineRule="auto"/>
            <w:jc w:val="center"/>
            <w:rPr>
              <w:rFonts w:ascii="Times New Roman" w:hAnsi="Times New Roman"/>
              <w:b/>
              <w:sz w:val="24"/>
              <w:szCs w:val="24"/>
            </w:rPr>
          </w:pPr>
          <w:r w:rsidRPr="000D2748">
            <w:rPr>
              <w:rFonts w:ascii="Times New Roman" w:hAnsi="Times New Roman"/>
              <w:b/>
              <w:sz w:val="24"/>
              <w:szCs w:val="24"/>
            </w:rPr>
            <w:t>ROTEIRO</w:t>
          </w:r>
        </w:p>
      </w:tc>
      <w:tc>
        <w:tcPr>
          <w:tcW w:w="2198" w:type="dxa"/>
          <w:vMerge w:val="restart"/>
          <w:shd w:val="clear" w:color="auto" w:fill="auto"/>
          <w:vAlign w:val="center"/>
        </w:tcPr>
        <w:p w14:paraId="2B86D189" w14:textId="77777777" w:rsidR="003D2704" w:rsidRPr="000D2748" w:rsidRDefault="003D2704" w:rsidP="000D2748">
          <w:pPr>
            <w:spacing w:after="0" w:line="240" w:lineRule="auto"/>
            <w:jc w:val="center"/>
            <w:rPr>
              <w:rFonts w:ascii="Times New Roman" w:hAnsi="Times New Roman"/>
              <w:b/>
              <w:sz w:val="24"/>
              <w:szCs w:val="24"/>
            </w:rPr>
          </w:pPr>
        </w:p>
        <w:p w14:paraId="6E21428B" w14:textId="619CC8B7" w:rsidR="003D2704" w:rsidRPr="000D2748" w:rsidRDefault="003D2704" w:rsidP="000D2748">
          <w:pPr>
            <w:spacing w:after="0" w:line="240" w:lineRule="auto"/>
            <w:jc w:val="center"/>
            <w:rPr>
              <w:rFonts w:ascii="Times New Roman" w:hAnsi="Times New Roman"/>
              <w:b/>
              <w:sz w:val="24"/>
              <w:szCs w:val="24"/>
            </w:rPr>
          </w:pPr>
          <w:r w:rsidRPr="000D2748">
            <w:rPr>
              <w:rFonts w:ascii="Times New Roman" w:hAnsi="Times New Roman"/>
              <w:b/>
              <w:sz w:val="24"/>
              <w:szCs w:val="24"/>
            </w:rPr>
            <w:t>ROT EXT - 0</w:t>
          </w:r>
          <w:r>
            <w:rPr>
              <w:rFonts w:ascii="Times New Roman" w:hAnsi="Times New Roman"/>
              <w:b/>
              <w:sz w:val="24"/>
              <w:szCs w:val="24"/>
            </w:rPr>
            <w:t>09</w:t>
          </w:r>
        </w:p>
        <w:p w14:paraId="0D02BD2B" w14:textId="77777777" w:rsidR="003D2704" w:rsidRPr="000D2748" w:rsidRDefault="003D2704" w:rsidP="000D2748">
          <w:pPr>
            <w:spacing w:after="0" w:line="240" w:lineRule="auto"/>
            <w:jc w:val="center"/>
            <w:rPr>
              <w:rFonts w:ascii="Times New Roman" w:hAnsi="Times New Roman"/>
              <w:sz w:val="24"/>
              <w:szCs w:val="24"/>
            </w:rPr>
          </w:pPr>
          <w:r w:rsidRPr="000D2748">
            <w:rPr>
              <w:rFonts w:ascii="Times New Roman" w:hAnsi="Times New Roman"/>
              <w:sz w:val="24"/>
              <w:szCs w:val="24"/>
            </w:rPr>
            <w:t>Data: 02/05/2019</w:t>
          </w:r>
        </w:p>
        <w:p w14:paraId="3D1FD909" w14:textId="513FFB8F" w:rsidR="003D2704" w:rsidRPr="000D2748" w:rsidRDefault="003D2704" w:rsidP="000D2748">
          <w:pPr>
            <w:spacing w:after="0" w:line="240" w:lineRule="auto"/>
            <w:jc w:val="center"/>
            <w:rPr>
              <w:rFonts w:ascii="Times New Roman" w:hAnsi="Times New Roman"/>
              <w:sz w:val="24"/>
              <w:szCs w:val="24"/>
            </w:rPr>
          </w:pPr>
          <w:r w:rsidRPr="000D2748">
            <w:rPr>
              <w:rFonts w:ascii="Times New Roman" w:hAnsi="Times New Roman"/>
              <w:sz w:val="24"/>
              <w:szCs w:val="24"/>
            </w:rPr>
            <w:t xml:space="preserve">Revisão: </w:t>
          </w:r>
          <w:r w:rsidR="00094B06">
            <w:rPr>
              <w:rFonts w:ascii="Times New Roman" w:hAnsi="Times New Roman"/>
              <w:sz w:val="24"/>
              <w:szCs w:val="24"/>
            </w:rPr>
            <w:t>2</w:t>
          </w:r>
        </w:p>
        <w:p w14:paraId="09D613E0" w14:textId="77777777" w:rsidR="003D2704" w:rsidRPr="000D2748" w:rsidRDefault="003D2704" w:rsidP="000D2748">
          <w:pPr>
            <w:spacing w:after="0" w:line="240" w:lineRule="auto"/>
            <w:jc w:val="center"/>
            <w:rPr>
              <w:rFonts w:ascii="Times New Roman" w:hAnsi="Times New Roman"/>
              <w:sz w:val="24"/>
              <w:szCs w:val="24"/>
            </w:rPr>
          </w:pPr>
          <w:r w:rsidRPr="000D2748">
            <w:rPr>
              <w:rFonts w:ascii="Times New Roman" w:hAnsi="Times New Roman"/>
              <w:sz w:val="24"/>
              <w:szCs w:val="24"/>
            </w:rPr>
            <w:t xml:space="preserve">Página </w:t>
          </w:r>
          <w:r w:rsidRPr="000D2748">
            <w:rPr>
              <w:rFonts w:ascii="Times New Roman" w:hAnsi="Times New Roman"/>
              <w:sz w:val="24"/>
              <w:szCs w:val="24"/>
            </w:rPr>
            <w:fldChar w:fldCharType="begin"/>
          </w:r>
          <w:r w:rsidRPr="000D2748">
            <w:rPr>
              <w:rFonts w:ascii="Times New Roman" w:hAnsi="Times New Roman"/>
              <w:sz w:val="24"/>
              <w:szCs w:val="24"/>
            </w:rPr>
            <w:instrText xml:space="preserve"> PAGE </w:instrText>
          </w:r>
          <w:r w:rsidRPr="000D2748">
            <w:rPr>
              <w:rFonts w:ascii="Times New Roman" w:hAnsi="Times New Roman"/>
              <w:sz w:val="24"/>
              <w:szCs w:val="24"/>
            </w:rPr>
            <w:fldChar w:fldCharType="separate"/>
          </w:r>
          <w:r w:rsidR="008F2EF5">
            <w:rPr>
              <w:rFonts w:ascii="Times New Roman" w:hAnsi="Times New Roman"/>
              <w:noProof/>
              <w:sz w:val="24"/>
              <w:szCs w:val="24"/>
            </w:rPr>
            <w:t>1</w:t>
          </w:r>
          <w:r w:rsidRPr="000D2748">
            <w:rPr>
              <w:rFonts w:ascii="Times New Roman" w:hAnsi="Times New Roman"/>
              <w:sz w:val="24"/>
              <w:szCs w:val="24"/>
            </w:rPr>
            <w:fldChar w:fldCharType="end"/>
          </w:r>
          <w:r w:rsidRPr="000D2748">
            <w:rPr>
              <w:rFonts w:ascii="Times New Roman" w:hAnsi="Times New Roman"/>
              <w:sz w:val="24"/>
              <w:szCs w:val="24"/>
            </w:rPr>
            <w:t xml:space="preserve"> de </w:t>
          </w:r>
          <w:r w:rsidRPr="000D2748">
            <w:rPr>
              <w:rFonts w:ascii="Times New Roman" w:hAnsi="Times New Roman"/>
              <w:sz w:val="24"/>
              <w:szCs w:val="24"/>
            </w:rPr>
            <w:fldChar w:fldCharType="begin"/>
          </w:r>
          <w:r w:rsidRPr="000D2748">
            <w:rPr>
              <w:rFonts w:ascii="Times New Roman" w:hAnsi="Times New Roman"/>
              <w:sz w:val="24"/>
              <w:szCs w:val="24"/>
            </w:rPr>
            <w:instrText xml:space="preserve"> NUMPAGES </w:instrText>
          </w:r>
          <w:r w:rsidRPr="000D2748">
            <w:rPr>
              <w:rFonts w:ascii="Times New Roman" w:hAnsi="Times New Roman"/>
              <w:sz w:val="24"/>
              <w:szCs w:val="24"/>
            </w:rPr>
            <w:fldChar w:fldCharType="separate"/>
          </w:r>
          <w:r w:rsidR="008F2EF5">
            <w:rPr>
              <w:rFonts w:ascii="Times New Roman" w:hAnsi="Times New Roman"/>
              <w:noProof/>
              <w:sz w:val="24"/>
              <w:szCs w:val="24"/>
            </w:rPr>
            <w:t>1</w:t>
          </w:r>
          <w:r w:rsidRPr="000D2748">
            <w:rPr>
              <w:rFonts w:ascii="Times New Roman" w:hAnsi="Times New Roman"/>
              <w:sz w:val="24"/>
              <w:szCs w:val="24"/>
            </w:rPr>
            <w:fldChar w:fldCharType="end"/>
          </w:r>
        </w:p>
        <w:p w14:paraId="74C53789" w14:textId="77777777" w:rsidR="003D2704" w:rsidRPr="000D2748" w:rsidRDefault="003D2704" w:rsidP="000D2748">
          <w:pPr>
            <w:spacing w:after="0" w:line="240" w:lineRule="auto"/>
            <w:jc w:val="center"/>
            <w:rPr>
              <w:rFonts w:ascii="Times New Roman" w:hAnsi="Times New Roman"/>
              <w:sz w:val="24"/>
              <w:szCs w:val="24"/>
            </w:rPr>
          </w:pPr>
        </w:p>
      </w:tc>
    </w:tr>
    <w:tr w:rsidR="003D2704" w:rsidRPr="001B394B" w14:paraId="112F0BA3" w14:textId="77777777" w:rsidTr="000D2748">
      <w:trPr>
        <w:trHeight w:val="272"/>
        <w:tblCellSpacing w:w="20" w:type="dxa"/>
      </w:trPr>
      <w:tc>
        <w:tcPr>
          <w:tcW w:w="1950" w:type="dxa"/>
          <w:vMerge/>
          <w:shd w:val="clear" w:color="auto" w:fill="auto"/>
          <w:vAlign w:val="center"/>
        </w:tcPr>
        <w:p w14:paraId="42927422" w14:textId="77777777" w:rsidR="003D2704" w:rsidRPr="001B394B" w:rsidRDefault="003D2704" w:rsidP="000D2748">
          <w:pPr>
            <w:autoSpaceDE w:val="0"/>
            <w:autoSpaceDN w:val="0"/>
            <w:adjustRightInd w:val="0"/>
            <w:spacing w:after="0" w:line="240" w:lineRule="auto"/>
            <w:ind w:right="-5"/>
            <w:jc w:val="center"/>
            <w:rPr>
              <w:rFonts w:ascii="Times New Roman" w:hAnsi="Times New Roman"/>
              <w:noProof/>
              <w:sz w:val="20"/>
              <w:szCs w:val="20"/>
            </w:rPr>
          </w:pPr>
        </w:p>
      </w:tc>
      <w:tc>
        <w:tcPr>
          <w:tcW w:w="6311" w:type="dxa"/>
          <w:shd w:val="clear" w:color="auto" w:fill="auto"/>
          <w:vAlign w:val="center"/>
        </w:tcPr>
        <w:p w14:paraId="077E063C" w14:textId="77777777" w:rsidR="003D2704" w:rsidRPr="000D2748" w:rsidRDefault="003D2704" w:rsidP="000D2748">
          <w:pPr>
            <w:spacing w:before="120" w:after="120" w:line="240" w:lineRule="auto"/>
            <w:jc w:val="center"/>
            <w:rPr>
              <w:rFonts w:ascii="Times New Roman" w:hAnsi="Times New Roman"/>
              <w:b/>
              <w:sz w:val="24"/>
              <w:szCs w:val="24"/>
            </w:rPr>
          </w:pPr>
          <w:r w:rsidRPr="000D2748">
            <w:rPr>
              <w:rFonts w:ascii="Times New Roman" w:hAnsi="Times New Roman"/>
              <w:b/>
              <w:sz w:val="24"/>
              <w:szCs w:val="24"/>
            </w:rPr>
            <w:t>REG - REGISTRO</w:t>
          </w:r>
        </w:p>
      </w:tc>
      <w:tc>
        <w:tcPr>
          <w:tcW w:w="2198" w:type="dxa"/>
          <w:vMerge/>
          <w:shd w:val="clear" w:color="auto" w:fill="auto"/>
          <w:vAlign w:val="center"/>
        </w:tcPr>
        <w:p w14:paraId="08C1E306" w14:textId="77777777" w:rsidR="003D2704" w:rsidRPr="000D2748" w:rsidRDefault="003D2704" w:rsidP="000D2748">
          <w:pPr>
            <w:spacing w:after="0" w:line="240" w:lineRule="auto"/>
            <w:jc w:val="center"/>
            <w:rPr>
              <w:rFonts w:ascii="Times New Roman" w:hAnsi="Times New Roman"/>
              <w:b/>
              <w:sz w:val="24"/>
              <w:szCs w:val="24"/>
            </w:rPr>
          </w:pPr>
        </w:p>
      </w:tc>
    </w:tr>
    <w:tr w:rsidR="003D2704" w:rsidRPr="001B394B" w14:paraId="045C2236" w14:textId="77777777" w:rsidTr="000D2748">
      <w:trPr>
        <w:trHeight w:val="214"/>
        <w:tblCellSpacing w:w="20" w:type="dxa"/>
      </w:trPr>
      <w:tc>
        <w:tcPr>
          <w:tcW w:w="1950" w:type="dxa"/>
          <w:vMerge/>
          <w:shd w:val="clear" w:color="auto" w:fill="auto"/>
        </w:tcPr>
        <w:p w14:paraId="54DE375E" w14:textId="77777777" w:rsidR="003D2704" w:rsidRPr="001B394B" w:rsidRDefault="003D2704" w:rsidP="000D2748">
          <w:pPr>
            <w:spacing w:after="0" w:line="240" w:lineRule="auto"/>
            <w:jc w:val="center"/>
            <w:rPr>
              <w:rFonts w:ascii="Times New Roman" w:hAnsi="Times New Roman"/>
              <w:sz w:val="20"/>
              <w:szCs w:val="20"/>
            </w:rPr>
          </w:pPr>
        </w:p>
      </w:tc>
      <w:tc>
        <w:tcPr>
          <w:tcW w:w="6311" w:type="dxa"/>
          <w:shd w:val="clear" w:color="auto" w:fill="auto"/>
        </w:tcPr>
        <w:p w14:paraId="6BFEF21A" w14:textId="24D70146" w:rsidR="003D2704" w:rsidRPr="000D2748" w:rsidRDefault="003D2704" w:rsidP="000D274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DOCUMENTOS NECESSÁRIOS AOS CONTRATOS</w:t>
          </w:r>
        </w:p>
      </w:tc>
      <w:tc>
        <w:tcPr>
          <w:tcW w:w="2198" w:type="dxa"/>
          <w:vMerge/>
          <w:shd w:val="clear" w:color="auto" w:fill="auto"/>
        </w:tcPr>
        <w:p w14:paraId="2E9AD14C" w14:textId="77777777" w:rsidR="003D2704" w:rsidRPr="000D2748" w:rsidRDefault="003D2704" w:rsidP="000D2748">
          <w:pPr>
            <w:spacing w:after="0" w:line="240" w:lineRule="auto"/>
            <w:rPr>
              <w:rFonts w:ascii="Times New Roman" w:hAnsi="Times New Roman"/>
              <w:sz w:val="24"/>
              <w:szCs w:val="24"/>
            </w:rPr>
          </w:pPr>
        </w:p>
      </w:tc>
    </w:tr>
  </w:tbl>
  <w:p w14:paraId="2A53AB4E" w14:textId="77777777" w:rsidR="003D2704" w:rsidRDefault="003D27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15:restartNumberingAfterBreak="0">
    <w:nsid w:val="025828BA"/>
    <w:multiLevelType w:val="hybridMultilevel"/>
    <w:tmpl w:val="EB4683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C9678A"/>
    <w:multiLevelType w:val="hybridMultilevel"/>
    <w:tmpl w:val="FAA2D7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15054027">
    <w:abstractNumId w:val="2"/>
  </w:num>
  <w:num w:numId="2" w16cid:durableId="2123918613">
    <w:abstractNumId w:val="1"/>
  </w:num>
  <w:num w:numId="3" w16cid:durableId="189689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57"/>
    <w:rsid w:val="00014215"/>
    <w:rsid w:val="00035A42"/>
    <w:rsid w:val="00065417"/>
    <w:rsid w:val="00094B06"/>
    <w:rsid w:val="000D2748"/>
    <w:rsid w:val="00117066"/>
    <w:rsid w:val="00212C77"/>
    <w:rsid w:val="002163C4"/>
    <w:rsid w:val="00223603"/>
    <w:rsid w:val="002B6FDD"/>
    <w:rsid w:val="00333EBA"/>
    <w:rsid w:val="0038281C"/>
    <w:rsid w:val="003A44BD"/>
    <w:rsid w:val="003B1203"/>
    <w:rsid w:val="003D2704"/>
    <w:rsid w:val="004A78FC"/>
    <w:rsid w:val="006074F1"/>
    <w:rsid w:val="00642D75"/>
    <w:rsid w:val="00692553"/>
    <w:rsid w:val="00730246"/>
    <w:rsid w:val="007409E7"/>
    <w:rsid w:val="007D7269"/>
    <w:rsid w:val="008174A3"/>
    <w:rsid w:val="008A69B1"/>
    <w:rsid w:val="008F2EF5"/>
    <w:rsid w:val="008F3AB4"/>
    <w:rsid w:val="009377D6"/>
    <w:rsid w:val="00987DDB"/>
    <w:rsid w:val="00A36533"/>
    <w:rsid w:val="00A431D7"/>
    <w:rsid w:val="00AB6FE1"/>
    <w:rsid w:val="00B007CD"/>
    <w:rsid w:val="00B16207"/>
    <w:rsid w:val="00B621CF"/>
    <w:rsid w:val="00B77F9F"/>
    <w:rsid w:val="00CE7F28"/>
    <w:rsid w:val="00D6503C"/>
    <w:rsid w:val="00DB4D71"/>
    <w:rsid w:val="00DC1E7F"/>
    <w:rsid w:val="00DD6424"/>
    <w:rsid w:val="00E252B0"/>
    <w:rsid w:val="00F53259"/>
    <w:rsid w:val="00FD2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87FA"/>
  <w15:docId w15:val="{2D346E65-A529-4301-9177-757FFCC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A6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24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2457"/>
  </w:style>
  <w:style w:type="paragraph" w:styleId="Rodap">
    <w:name w:val="footer"/>
    <w:basedOn w:val="Normal"/>
    <w:link w:val="RodapChar"/>
    <w:uiPriority w:val="99"/>
    <w:unhideWhenUsed/>
    <w:rsid w:val="00FD2457"/>
    <w:pPr>
      <w:tabs>
        <w:tab w:val="center" w:pos="4252"/>
        <w:tab w:val="right" w:pos="8504"/>
      </w:tabs>
      <w:spacing w:after="0" w:line="240" w:lineRule="auto"/>
    </w:pPr>
  </w:style>
  <w:style w:type="character" w:customStyle="1" w:styleId="RodapChar">
    <w:name w:val="Rodapé Char"/>
    <w:basedOn w:val="Fontepargpadro"/>
    <w:link w:val="Rodap"/>
    <w:uiPriority w:val="99"/>
    <w:rsid w:val="00FD2457"/>
  </w:style>
  <w:style w:type="paragraph" w:styleId="PargrafodaLista">
    <w:name w:val="List Paragraph"/>
    <w:basedOn w:val="Normal"/>
    <w:uiPriority w:val="34"/>
    <w:qFormat/>
    <w:rsid w:val="00CE7F28"/>
    <w:pPr>
      <w:ind w:left="720"/>
      <w:contextualSpacing/>
    </w:pPr>
  </w:style>
  <w:style w:type="character" w:styleId="Hyperlink">
    <w:name w:val="Hyperlink"/>
    <w:basedOn w:val="Fontepargpadro"/>
    <w:uiPriority w:val="99"/>
    <w:unhideWhenUsed/>
    <w:rsid w:val="00CE7F28"/>
    <w:rPr>
      <w:color w:val="0563C1" w:themeColor="hyperlink"/>
      <w:u w:val="single"/>
    </w:rPr>
  </w:style>
  <w:style w:type="character" w:customStyle="1" w:styleId="MenoPendente1">
    <w:name w:val="Menção Pendente1"/>
    <w:basedOn w:val="Fontepargpadro"/>
    <w:uiPriority w:val="99"/>
    <w:semiHidden/>
    <w:unhideWhenUsed/>
    <w:rsid w:val="00CE7F28"/>
    <w:rPr>
      <w:color w:val="605E5C"/>
      <w:shd w:val="clear" w:color="auto" w:fill="E1DFDD"/>
    </w:rPr>
  </w:style>
  <w:style w:type="paragraph" w:styleId="Textodebalo">
    <w:name w:val="Balloon Text"/>
    <w:basedOn w:val="Normal"/>
    <w:link w:val="TextodebaloChar"/>
    <w:uiPriority w:val="99"/>
    <w:semiHidden/>
    <w:unhideWhenUsed/>
    <w:rsid w:val="004A78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78FC"/>
    <w:rPr>
      <w:rFonts w:ascii="Tahoma" w:hAnsi="Tahoma" w:cs="Tahoma"/>
      <w:sz w:val="16"/>
      <w:szCs w:val="16"/>
    </w:rPr>
  </w:style>
  <w:style w:type="character" w:customStyle="1" w:styleId="Ttulo1Char">
    <w:name w:val="Título 1 Char"/>
    <w:basedOn w:val="Fontepargpadro"/>
    <w:link w:val="Ttulo1"/>
    <w:uiPriority w:val="9"/>
    <w:rsid w:val="008A69B1"/>
    <w:rPr>
      <w:rFonts w:ascii="Times New Roman" w:eastAsia="Times New Roman" w:hAnsi="Times New Roman" w:cs="Times New Roman"/>
      <w:b/>
      <w:bCs/>
      <w:kern w:val="36"/>
      <w:sz w:val="48"/>
      <w:szCs w:val="48"/>
      <w:lang w:eastAsia="pt-BR"/>
    </w:rPr>
  </w:style>
  <w:style w:type="paragraph" w:customStyle="1" w:styleId="Ferncorpotxt">
    <w:name w:val="Fern_corpo_txt"/>
    <w:basedOn w:val="Normal"/>
    <w:qFormat/>
    <w:rsid w:val="00094B06"/>
    <w:pPr>
      <w:widowControl w:val="0"/>
      <w:tabs>
        <w:tab w:val="left" w:pos="-2127"/>
      </w:tabs>
      <w:suppressAutoHyphens/>
      <w:autoSpaceDE w:val="0"/>
      <w:spacing w:after="0" w:line="240" w:lineRule="auto"/>
      <w:jc w:val="both"/>
    </w:pPr>
    <w:rPr>
      <w:rFonts w:ascii="Arial Narrow" w:eastAsia="Lucida Sans Unicode" w:hAnsi="Arial Narrow" w:cs="Times New Roman"/>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188">
      <w:bodyDiv w:val="1"/>
      <w:marLeft w:val="0"/>
      <w:marRight w:val="0"/>
      <w:marTop w:val="0"/>
      <w:marBottom w:val="0"/>
      <w:divBdr>
        <w:top w:val="none" w:sz="0" w:space="0" w:color="auto"/>
        <w:left w:val="none" w:sz="0" w:space="0" w:color="auto"/>
        <w:bottom w:val="none" w:sz="0" w:space="0" w:color="auto"/>
        <w:right w:val="none" w:sz="0" w:space="0" w:color="auto"/>
      </w:divBdr>
    </w:div>
    <w:div w:id="5424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4000</Words>
  <Characters>21602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2OFICIO IMOVEIS</dc:creator>
  <cp:lastModifiedBy>2OFICIO IMOVEIS</cp:lastModifiedBy>
  <cp:revision>4</cp:revision>
  <dcterms:created xsi:type="dcterms:W3CDTF">2022-05-10T14:21:00Z</dcterms:created>
  <dcterms:modified xsi:type="dcterms:W3CDTF">2022-05-16T14:40:00Z</dcterms:modified>
</cp:coreProperties>
</file>